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F20B" w14:textId="465DC5EE" w:rsidR="003D1076" w:rsidRPr="00615740" w:rsidRDefault="00195FCC" w:rsidP="003D1076">
      <w:pPr>
        <w:rPr>
          <w:rFonts w:ascii="Arial" w:hAnsi="Arial" w:cs="Arial"/>
          <w:b/>
          <w:bCs/>
        </w:rPr>
      </w:pPr>
      <w:r w:rsidRPr="00615740">
        <w:rPr>
          <w:rFonts w:ascii="Arial" w:hAnsi="Arial" w:cs="Arial"/>
          <w:b/>
          <w:bCs/>
        </w:rPr>
        <w:t xml:space="preserve">ACUERDO QUE EMITE LA JUNTA ESTATAL EJECUTIVA DEL INSTITUTO ELECTORAL Y DE PARTICIPACIÓN CIUDADANA DE TABASCO, MEDIANTE EL CUAL SE RENUEVA LA ENCARGADURÍA DE DESPACHO DE LA PLAZA VACANTE DE ASISTENCIA TÉCNICA ADSCRITA A LA COORDINACIÓN DE PRERROGATIVAS Y PARTIDOS POLÍTICOS DE LA DIRECCIÓN DE ORGANIZACIÓN ELECTORAL Y EDUCACIÓN CÍVICA INCORPORADA AL SERVICIO PROFESIONAL ELECTORAL NACIONAL </w:t>
      </w:r>
    </w:p>
    <w:p w14:paraId="3B1A2061" w14:textId="77777777" w:rsidR="003D1076" w:rsidRPr="00195FCC" w:rsidRDefault="003D1076" w:rsidP="003D1076">
      <w:pPr>
        <w:rPr>
          <w:rFonts w:ascii="Arial" w:hAnsi="Arial" w:cs="Arial"/>
          <w:sz w:val="22"/>
          <w:szCs w:val="22"/>
        </w:rPr>
      </w:pPr>
      <w:r w:rsidRPr="00195FCC">
        <w:rPr>
          <w:rFonts w:ascii="Arial" w:hAnsi="Arial" w:cs="Arial"/>
          <w:sz w:val="22"/>
          <w:szCs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615740" w:rsidRPr="00615740" w14:paraId="0D2F0ABE" w14:textId="77777777" w:rsidTr="008F01AE">
        <w:trPr>
          <w:jc w:val="center"/>
        </w:trPr>
        <w:tc>
          <w:tcPr>
            <w:tcW w:w="2664" w:type="dxa"/>
            <w:vAlign w:val="center"/>
          </w:tcPr>
          <w:p w14:paraId="6293A18E"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Consejo Estatal:</w:t>
            </w:r>
          </w:p>
        </w:tc>
        <w:tc>
          <w:tcPr>
            <w:tcW w:w="3998" w:type="dxa"/>
            <w:vAlign w:val="center"/>
          </w:tcPr>
          <w:p w14:paraId="54A9B26E"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Consejo Estatal del Instituto Electoral y de Participación Ciudadana de Tabasco.</w:t>
            </w:r>
          </w:p>
        </w:tc>
      </w:tr>
      <w:tr w:rsidR="00615740" w:rsidRPr="00615740" w14:paraId="236D2036" w14:textId="77777777" w:rsidTr="008F01AE">
        <w:trPr>
          <w:jc w:val="center"/>
        </w:trPr>
        <w:tc>
          <w:tcPr>
            <w:tcW w:w="2664" w:type="dxa"/>
            <w:vAlign w:val="center"/>
          </w:tcPr>
          <w:p w14:paraId="60BBDA43"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Constitución Federal:</w:t>
            </w:r>
          </w:p>
        </w:tc>
        <w:tc>
          <w:tcPr>
            <w:tcW w:w="3998" w:type="dxa"/>
            <w:vAlign w:val="center"/>
          </w:tcPr>
          <w:p w14:paraId="21B121DF"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Constitución Política de los Estados Unidos Mexicanos.</w:t>
            </w:r>
          </w:p>
        </w:tc>
      </w:tr>
      <w:tr w:rsidR="00615740" w:rsidRPr="00615740" w14:paraId="189729D2" w14:textId="77777777" w:rsidTr="008F01AE">
        <w:trPr>
          <w:jc w:val="center"/>
        </w:trPr>
        <w:tc>
          <w:tcPr>
            <w:tcW w:w="2664" w:type="dxa"/>
            <w:vAlign w:val="center"/>
          </w:tcPr>
          <w:p w14:paraId="2C7973F0"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Constitución Local:</w:t>
            </w:r>
          </w:p>
        </w:tc>
        <w:tc>
          <w:tcPr>
            <w:tcW w:w="3998" w:type="dxa"/>
            <w:vAlign w:val="center"/>
          </w:tcPr>
          <w:p w14:paraId="4A617A21"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Constitución Política del Estado Libre y Soberano de Tabasco.</w:t>
            </w:r>
          </w:p>
        </w:tc>
      </w:tr>
      <w:tr w:rsidR="00615740" w:rsidRPr="00615740" w14:paraId="75DC9141" w14:textId="77777777" w:rsidTr="008F01AE">
        <w:trPr>
          <w:jc w:val="center"/>
        </w:trPr>
        <w:tc>
          <w:tcPr>
            <w:tcW w:w="2664" w:type="dxa"/>
            <w:vAlign w:val="center"/>
          </w:tcPr>
          <w:p w14:paraId="7A2C0AFE"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Instituto:</w:t>
            </w:r>
          </w:p>
        </w:tc>
        <w:tc>
          <w:tcPr>
            <w:tcW w:w="3998" w:type="dxa"/>
            <w:vAlign w:val="center"/>
          </w:tcPr>
          <w:p w14:paraId="06AEAAD6"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Instituto Electoral y de Participación Ciudadana de Tabasco.</w:t>
            </w:r>
          </w:p>
        </w:tc>
      </w:tr>
      <w:tr w:rsidR="00615740" w:rsidRPr="00615740" w14:paraId="3A399ADE" w14:textId="77777777" w:rsidTr="008F01AE">
        <w:trPr>
          <w:jc w:val="center"/>
        </w:trPr>
        <w:tc>
          <w:tcPr>
            <w:tcW w:w="2664" w:type="dxa"/>
            <w:vAlign w:val="center"/>
          </w:tcPr>
          <w:p w14:paraId="29BD6FB0"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Junta Ejecutiva:</w:t>
            </w:r>
          </w:p>
        </w:tc>
        <w:tc>
          <w:tcPr>
            <w:tcW w:w="3998" w:type="dxa"/>
            <w:vAlign w:val="center"/>
          </w:tcPr>
          <w:p w14:paraId="63727D31"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Junta Estatal Ejecutiva del Instituto Electoral y de Participación Ciudadana de Tabasco.</w:t>
            </w:r>
          </w:p>
        </w:tc>
      </w:tr>
      <w:tr w:rsidR="00615740" w:rsidRPr="00615740" w14:paraId="292E516A" w14:textId="77777777" w:rsidTr="008F01AE">
        <w:trPr>
          <w:jc w:val="center"/>
        </w:trPr>
        <w:tc>
          <w:tcPr>
            <w:tcW w:w="2664" w:type="dxa"/>
            <w:vAlign w:val="center"/>
          </w:tcPr>
          <w:p w14:paraId="4EF6F6DD"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Ley Electoral:</w:t>
            </w:r>
          </w:p>
        </w:tc>
        <w:tc>
          <w:tcPr>
            <w:tcW w:w="3998" w:type="dxa"/>
            <w:vAlign w:val="center"/>
          </w:tcPr>
          <w:p w14:paraId="7369494F"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Ley Electoral y de Partidos Políticos del Estado de Tabasco.</w:t>
            </w:r>
          </w:p>
        </w:tc>
      </w:tr>
      <w:tr w:rsidR="00615740" w:rsidRPr="00615740" w14:paraId="0FD10CC5" w14:textId="77777777" w:rsidTr="008F01AE">
        <w:trPr>
          <w:jc w:val="center"/>
        </w:trPr>
        <w:tc>
          <w:tcPr>
            <w:tcW w:w="2664" w:type="dxa"/>
            <w:vAlign w:val="center"/>
          </w:tcPr>
          <w:p w14:paraId="70F610C5"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Lineamientos:</w:t>
            </w:r>
          </w:p>
        </w:tc>
        <w:tc>
          <w:tcPr>
            <w:tcW w:w="3998" w:type="dxa"/>
            <w:vAlign w:val="center"/>
          </w:tcPr>
          <w:p w14:paraId="2AEE376D"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Lineamientos para la designación de encargos de despacho para ocupar cargos y puestos del Servicio Profesional Electoral Nacional del Sistema del Instituto Nacional Electoral, aprobados por el INE mediante acuerdo INE/JGE51/2021.</w:t>
            </w:r>
          </w:p>
        </w:tc>
      </w:tr>
      <w:tr w:rsidR="00615740" w:rsidRPr="00615740" w14:paraId="2EAE7F7E" w14:textId="77777777" w:rsidTr="008F01AE">
        <w:trPr>
          <w:jc w:val="center"/>
        </w:trPr>
        <w:tc>
          <w:tcPr>
            <w:tcW w:w="2664" w:type="dxa"/>
            <w:vAlign w:val="center"/>
          </w:tcPr>
          <w:p w14:paraId="61E38F92" w14:textId="77777777" w:rsidR="003D1076" w:rsidRPr="00615740" w:rsidRDefault="003D1076" w:rsidP="008F01AE">
            <w:pPr>
              <w:spacing w:before="120" w:after="120"/>
              <w:jc w:val="right"/>
              <w:rPr>
                <w:rFonts w:ascii="Arial" w:hAnsi="Arial" w:cs="Arial"/>
                <w:b/>
                <w:sz w:val="20"/>
                <w:szCs w:val="20"/>
              </w:rPr>
            </w:pPr>
            <w:r w:rsidRPr="00615740">
              <w:rPr>
                <w:rFonts w:ascii="Arial" w:hAnsi="Arial" w:cs="Arial"/>
                <w:b/>
                <w:sz w:val="20"/>
                <w:szCs w:val="20"/>
              </w:rPr>
              <w:t>Servicio Profesional:</w:t>
            </w:r>
          </w:p>
        </w:tc>
        <w:tc>
          <w:tcPr>
            <w:tcW w:w="3998" w:type="dxa"/>
            <w:vAlign w:val="center"/>
          </w:tcPr>
          <w:p w14:paraId="7207C21B" w14:textId="77777777" w:rsidR="003D1076" w:rsidRPr="00615740" w:rsidRDefault="003D1076" w:rsidP="008F01AE">
            <w:pPr>
              <w:spacing w:before="120" w:after="120"/>
              <w:rPr>
                <w:rFonts w:ascii="Arial" w:hAnsi="Arial" w:cs="Arial"/>
                <w:sz w:val="20"/>
                <w:szCs w:val="20"/>
              </w:rPr>
            </w:pPr>
            <w:r w:rsidRPr="00615740">
              <w:rPr>
                <w:rFonts w:ascii="Arial" w:hAnsi="Arial" w:cs="Arial"/>
                <w:sz w:val="20"/>
                <w:szCs w:val="20"/>
              </w:rPr>
              <w:t>Servicio Profesional Electoral Nacional.</w:t>
            </w:r>
          </w:p>
        </w:tc>
      </w:tr>
    </w:tbl>
    <w:p w14:paraId="73BEEFCE" w14:textId="1172283B" w:rsidR="003D1076" w:rsidRPr="00615740" w:rsidRDefault="00615740" w:rsidP="00735326">
      <w:pPr>
        <w:pStyle w:val="Ttulo1"/>
        <w:spacing w:before="360"/>
        <w:rPr>
          <w:rFonts w:ascii="Arial" w:hAnsi="Arial" w:cs="Arial"/>
          <w:sz w:val="24"/>
          <w:szCs w:val="24"/>
        </w:rPr>
      </w:pPr>
      <w:r>
        <w:rPr>
          <w:rFonts w:ascii="Arial" w:hAnsi="Arial" w:cs="Arial"/>
          <w:sz w:val="24"/>
          <w:szCs w:val="24"/>
        </w:rPr>
        <w:lastRenderedPageBreak/>
        <w:t xml:space="preserve">1 </w:t>
      </w:r>
      <w:r w:rsidR="003D1076" w:rsidRPr="00615740">
        <w:rPr>
          <w:rFonts w:ascii="Arial" w:hAnsi="Arial" w:cs="Arial"/>
          <w:sz w:val="24"/>
          <w:szCs w:val="24"/>
        </w:rPr>
        <w:t>Antecedentes</w:t>
      </w:r>
    </w:p>
    <w:p w14:paraId="7F02A1DA" w14:textId="32017EB2"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1.1</w:t>
      </w:r>
      <w:r>
        <w:rPr>
          <w:rFonts w:ascii="Arial" w:hAnsi="Arial" w:cs="Arial"/>
        </w:rPr>
        <w:t xml:space="preserve"> </w:t>
      </w:r>
      <w:r w:rsidR="003D1076" w:rsidRPr="00615740">
        <w:rPr>
          <w:rFonts w:ascii="Arial" w:hAnsi="Arial" w:cs="Arial"/>
          <w:sz w:val="22"/>
          <w:szCs w:val="22"/>
        </w:rPr>
        <w:t>Fines del Instituto</w:t>
      </w:r>
    </w:p>
    <w:p w14:paraId="23081751" w14:textId="77777777" w:rsidR="003D1076" w:rsidRPr="00615740" w:rsidRDefault="003D1076" w:rsidP="003D1076">
      <w:pPr>
        <w:rPr>
          <w:rFonts w:ascii="Arial" w:hAnsi="Arial" w:cs="Arial"/>
          <w:sz w:val="22"/>
          <w:szCs w:val="22"/>
        </w:rPr>
      </w:pPr>
      <w:r w:rsidRPr="00615740">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873404B" w14:textId="77777777" w:rsidR="003D1076" w:rsidRPr="00615740" w:rsidRDefault="003D1076" w:rsidP="003D1076">
      <w:pPr>
        <w:rPr>
          <w:rFonts w:ascii="Arial" w:hAnsi="Arial" w:cs="Arial"/>
          <w:sz w:val="22"/>
          <w:szCs w:val="22"/>
        </w:rPr>
      </w:pPr>
      <w:r w:rsidRPr="00615740">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87623C2" w14:textId="77777777" w:rsidR="003D1076" w:rsidRPr="00615740" w:rsidRDefault="003D1076" w:rsidP="003D1076">
      <w:pPr>
        <w:rPr>
          <w:rFonts w:ascii="Arial" w:hAnsi="Arial" w:cs="Arial"/>
          <w:sz w:val="22"/>
          <w:szCs w:val="22"/>
        </w:rPr>
      </w:pPr>
      <w:r w:rsidRPr="00615740">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746B140" w14:textId="702C3778"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1.2 </w:t>
      </w:r>
      <w:r w:rsidR="003D1076" w:rsidRPr="00615740">
        <w:rPr>
          <w:rFonts w:ascii="Arial" w:hAnsi="Arial" w:cs="Arial"/>
          <w:sz w:val="22"/>
          <w:szCs w:val="22"/>
        </w:rPr>
        <w:t>Integración del órgano superior de dirección</w:t>
      </w:r>
    </w:p>
    <w:p w14:paraId="6E0AD40A" w14:textId="77777777" w:rsidR="003D1076" w:rsidRPr="00615740" w:rsidRDefault="003D1076" w:rsidP="003D1076">
      <w:pPr>
        <w:rPr>
          <w:rFonts w:ascii="Arial" w:hAnsi="Arial" w:cs="Arial"/>
          <w:sz w:val="22"/>
          <w:szCs w:val="22"/>
        </w:rPr>
      </w:pPr>
      <w:r w:rsidRPr="00615740">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0758423" w14:textId="77777777" w:rsidR="003D1076" w:rsidRPr="00615740" w:rsidRDefault="003D1076" w:rsidP="003D1076">
      <w:pPr>
        <w:rPr>
          <w:rFonts w:ascii="Arial" w:hAnsi="Arial" w:cs="Arial"/>
          <w:sz w:val="22"/>
          <w:szCs w:val="22"/>
        </w:rPr>
      </w:pPr>
      <w:r w:rsidRPr="00615740">
        <w:rPr>
          <w:rFonts w:ascii="Arial" w:hAnsi="Arial" w:cs="Arial"/>
          <w:sz w:val="22"/>
          <w:szCs w:val="22"/>
        </w:rPr>
        <w:t xml:space="preserve">Dicho órgano electoral, de conformidad con los artículos 99 de la Ley General y 107 numeral 1 de la Ley Electoral, se integrará por una Consejera o un Consejero Presidente </w:t>
      </w:r>
      <w:r w:rsidRPr="00615740">
        <w:rPr>
          <w:rFonts w:ascii="Arial" w:hAnsi="Arial" w:cs="Arial"/>
          <w:sz w:val="22"/>
          <w:szCs w:val="22"/>
        </w:rPr>
        <w:lastRenderedPageBreak/>
        <w:t>y seis consejeras y consejeros electorales, con voz y voto; la Secretaria o el Secretario Ejecutivo y una o un representante por cada partido político con registro nacional o estatal, quienes concurrirán a las sesiones sólo con derecho a voz.</w:t>
      </w:r>
    </w:p>
    <w:p w14:paraId="275AF9F9" w14:textId="77777777" w:rsidR="003D1076" w:rsidRPr="00615740" w:rsidRDefault="003D1076" w:rsidP="003D1076">
      <w:pPr>
        <w:rPr>
          <w:rFonts w:ascii="Arial" w:hAnsi="Arial" w:cs="Arial"/>
          <w:sz w:val="22"/>
          <w:szCs w:val="22"/>
        </w:rPr>
      </w:pPr>
      <w:r w:rsidRPr="00615740">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8349554" w14:textId="797F58E1"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1.3 </w:t>
      </w:r>
      <w:r w:rsidR="003D1076" w:rsidRPr="00615740">
        <w:rPr>
          <w:rFonts w:ascii="Arial" w:hAnsi="Arial" w:cs="Arial"/>
          <w:sz w:val="22"/>
          <w:szCs w:val="22"/>
        </w:rPr>
        <w:t>Órganos centrales del Instituto</w:t>
      </w:r>
    </w:p>
    <w:p w14:paraId="4451A97B" w14:textId="77777777" w:rsidR="003D1076" w:rsidRPr="00615740" w:rsidRDefault="003D1076" w:rsidP="003D1076">
      <w:pPr>
        <w:rPr>
          <w:rFonts w:ascii="Arial" w:hAnsi="Arial" w:cs="Arial"/>
          <w:sz w:val="22"/>
          <w:szCs w:val="22"/>
        </w:rPr>
      </w:pPr>
      <w:r w:rsidRPr="00615740">
        <w:rPr>
          <w:rFonts w:ascii="Arial" w:hAnsi="Arial" w:cs="Arial"/>
          <w:sz w:val="22"/>
          <w:szCs w:val="22"/>
        </w:rPr>
        <w:t>De acuerdo con el artículo 105 numeral 1 de la Ley Electoral los órganos centrales del Instituto son los siguientes:</w:t>
      </w:r>
    </w:p>
    <w:p w14:paraId="0BDFB817" w14:textId="77777777" w:rsidR="003D1076" w:rsidRPr="00615740" w:rsidRDefault="003D1076" w:rsidP="00735326">
      <w:pPr>
        <w:pStyle w:val="Prrafodelista"/>
        <w:widowControl w:val="0"/>
        <w:numPr>
          <w:ilvl w:val="0"/>
          <w:numId w:val="1"/>
        </w:numPr>
        <w:ind w:left="851" w:hanging="567"/>
        <w:rPr>
          <w:rFonts w:ascii="Arial" w:hAnsi="Arial" w:cs="Arial"/>
          <w:sz w:val="22"/>
          <w:szCs w:val="22"/>
        </w:rPr>
      </w:pPr>
      <w:r w:rsidRPr="00615740">
        <w:rPr>
          <w:rFonts w:ascii="Arial" w:hAnsi="Arial" w:cs="Arial"/>
          <w:sz w:val="22"/>
          <w:szCs w:val="22"/>
        </w:rPr>
        <w:t>Consejo Estatal;</w:t>
      </w:r>
    </w:p>
    <w:p w14:paraId="20A60D1E" w14:textId="77777777" w:rsidR="003D1076" w:rsidRPr="00615740" w:rsidRDefault="003D1076" w:rsidP="00735326">
      <w:pPr>
        <w:pStyle w:val="Prrafodelista"/>
        <w:widowControl w:val="0"/>
        <w:numPr>
          <w:ilvl w:val="0"/>
          <w:numId w:val="1"/>
        </w:numPr>
        <w:ind w:left="851" w:hanging="567"/>
        <w:rPr>
          <w:rFonts w:ascii="Arial" w:hAnsi="Arial" w:cs="Arial"/>
          <w:sz w:val="22"/>
          <w:szCs w:val="22"/>
        </w:rPr>
      </w:pPr>
      <w:r w:rsidRPr="00615740">
        <w:rPr>
          <w:rFonts w:ascii="Arial" w:hAnsi="Arial" w:cs="Arial"/>
          <w:sz w:val="22"/>
          <w:szCs w:val="22"/>
        </w:rPr>
        <w:t>Presidencia del Consejo Estatal;</w:t>
      </w:r>
    </w:p>
    <w:p w14:paraId="1D520BAC" w14:textId="77777777" w:rsidR="003D1076" w:rsidRPr="00615740" w:rsidRDefault="003D1076" w:rsidP="00735326">
      <w:pPr>
        <w:pStyle w:val="Prrafodelista"/>
        <w:widowControl w:val="0"/>
        <w:numPr>
          <w:ilvl w:val="0"/>
          <w:numId w:val="1"/>
        </w:numPr>
        <w:ind w:left="851" w:hanging="567"/>
        <w:rPr>
          <w:rFonts w:ascii="Arial" w:hAnsi="Arial" w:cs="Arial"/>
          <w:sz w:val="22"/>
          <w:szCs w:val="22"/>
        </w:rPr>
      </w:pPr>
      <w:r w:rsidRPr="00615740">
        <w:rPr>
          <w:rFonts w:ascii="Arial" w:hAnsi="Arial" w:cs="Arial"/>
          <w:sz w:val="22"/>
          <w:szCs w:val="22"/>
        </w:rPr>
        <w:t>Junta Estatal Ejecutiva;</w:t>
      </w:r>
    </w:p>
    <w:p w14:paraId="6F967BCE" w14:textId="77777777" w:rsidR="003D1076" w:rsidRPr="00615740" w:rsidRDefault="003D1076" w:rsidP="00735326">
      <w:pPr>
        <w:pStyle w:val="Prrafodelista"/>
        <w:widowControl w:val="0"/>
        <w:numPr>
          <w:ilvl w:val="0"/>
          <w:numId w:val="1"/>
        </w:numPr>
        <w:ind w:left="851" w:hanging="567"/>
        <w:rPr>
          <w:rFonts w:ascii="Arial" w:hAnsi="Arial" w:cs="Arial"/>
          <w:sz w:val="22"/>
          <w:szCs w:val="22"/>
        </w:rPr>
      </w:pPr>
      <w:r w:rsidRPr="00615740">
        <w:rPr>
          <w:rFonts w:ascii="Arial" w:hAnsi="Arial" w:cs="Arial"/>
          <w:sz w:val="22"/>
          <w:szCs w:val="22"/>
        </w:rPr>
        <w:t>Secretaría Ejecutiva, y</w:t>
      </w:r>
    </w:p>
    <w:p w14:paraId="7B18821F" w14:textId="77777777" w:rsidR="003D1076" w:rsidRPr="00615740" w:rsidRDefault="003D1076" w:rsidP="00735326">
      <w:pPr>
        <w:pStyle w:val="Prrafodelista"/>
        <w:widowControl w:val="0"/>
        <w:numPr>
          <w:ilvl w:val="0"/>
          <w:numId w:val="1"/>
        </w:numPr>
        <w:ind w:left="851" w:hanging="567"/>
        <w:rPr>
          <w:rFonts w:ascii="Arial" w:hAnsi="Arial" w:cs="Arial"/>
          <w:sz w:val="22"/>
          <w:szCs w:val="22"/>
        </w:rPr>
      </w:pPr>
      <w:r w:rsidRPr="00615740">
        <w:rPr>
          <w:rFonts w:ascii="Arial" w:hAnsi="Arial" w:cs="Arial"/>
          <w:sz w:val="22"/>
          <w:szCs w:val="22"/>
        </w:rPr>
        <w:t>Órgano Técnico de Fiscalización.</w:t>
      </w:r>
    </w:p>
    <w:p w14:paraId="1CE90952" w14:textId="08A8DEF8" w:rsidR="003D1076" w:rsidRPr="00615740" w:rsidRDefault="00615740" w:rsidP="00735326">
      <w:pPr>
        <w:pStyle w:val="Ttulo2"/>
        <w:spacing w:before="240"/>
        <w:rPr>
          <w:rFonts w:ascii="Arial" w:hAnsi="Arial" w:cs="Arial"/>
          <w:sz w:val="22"/>
          <w:szCs w:val="22"/>
        </w:rPr>
      </w:pPr>
      <w:r>
        <w:rPr>
          <w:rFonts w:ascii="Arial" w:hAnsi="Arial" w:cs="Arial"/>
          <w:sz w:val="22"/>
          <w:szCs w:val="22"/>
        </w:rPr>
        <w:t>1.4</w:t>
      </w:r>
      <w:r w:rsidR="003D1076" w:rsidRPr="00615740">
        <w:rPr>
          <w:rFonts w:ascii="Arial" w:hAnsi="Arial" w:cs="Arial"/>
          <w:sz w:val="22"/>
          <w:szCs w:val="22"/>
        </w:rPr>
        <w:tab/>
        <w:t>Integración de la Junta Ejecutiva</w:t>
      </w:r>
    </w:p>
    <w:p w14:paraId="331751B3" w14:textId="7C167D2C" w:rsidR="003D1076" w:rsidRPr="00615740" w:rsidRDefault="003D1076" w:rsidP="003D1076">
      <w:pPr>
        <w:rPr>
          <w:rFonts w:ascii="Arial" w:hAnsi="Arial" w:cs="Arial"/>
          <w:sz w:val="22"/>
          <w:szCs w:val="22"/>
        </w:rPr>
      </w:pPr>
      <w:r w:rsidRPr="00615740">
        <w:rPr>
          <w:rFonts w:ascii="Arial" w:hAnsi="Arial" w:cs="Arial"/>
          <w:sz w:val="22"/>
          <w:szCs w:val="22"/>
        </w:rPr>
        <w:t>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20200E61" w14:textId="45B184F1" w:rsidR="003D1076" w:rsidRDefault="003D1076" w:rsidP="003D1076">
      <w:pPr>
        <w:rPr>
          <w:rFonts w:ascii="Arial" w:hAnsi="Arial" w:cs="Arial"/>
          <w:sz w:val="22"/>
          <w:szCs w:val="22"/>
        </w:rPr>
      </w:pPr>
      <w:r w:rsidRPr="00615740">
        <w:rPr>
          <w:rFonts w:ascii="Arial" w:hAnsi="Arial" w:cs="Arial"/>
          <w:sz w:val="22"/>
          <w:szCs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13C4B292" w14:textId="106E698E" w:rsidR="003D1076" w:rsidRPr="00615740" w:rsidRDefault="00615740" w:rsidP="00735326">
      <w:pPr>
        <w:pStyle w:val="Ttulo2"/>
        <w:spacing w:before="240"/>
        <w:rPr>
          <w:rFonts w:ascii="Arial" w:hAnsi="Arial" w:cs="Arial"/>
          <w:sz w:val="22"/>
          <w:szCs w:val="22"/>
        </w:rPr>
      </w:pPr>
      <w:r>
        <w:rPr>
          <w:rFonts w:ascii="Arial" w:hAnsi="Arial" w:cs="Arial"/>
          <w:sz w:val="22"/>
          <w:szCs w:val="22"/>
        </w:rPr>
        <w:t xml:space="preserve">1.5 </w:t>
      </w:r>
      <w:r w:rsidR="003D1076" w:rsidRPr="00615740">
        <w:rPr>
          <w:rFonts w:ascii="Arial" w:hAnsi="Arial" w:cs="Arial"/>
          <w:sz w:val="22"/>
          <w:szCs w:val="22"/>
        </w:rPr>
        <w:t>Designación de Persona Encargada de Despacho</w:t>
      </w:r>
    </w:p>
    <w:p w14:paraId="41D1C3DE" w14:textId="110FEFC7" w:rsidR="003D1076" w:rsidRDefault="003D1076" w:rsidP="00EF6DAA">
      <w:pPr>
        <w:widowControl w:val="0"/>
        <w:spacing w:before="0" w:after="0"/>
        <w:rPr>
          <w:rFonts w:ascii="Arial" w:hAnsi="Arial" w:cs="Arial"/>
          <w:sz w:val="22"/>
          <w:szCs w:val="22"/>
        </w:rPr>
      </w:pPr>
      <w:r w:rsidRPr="00615740">
        <w:rPr>
          <w:rFonts w:ascii="Arial" w:hAnsi="Arial" w:cs="Arial"/>
          <w:sz w:val="22"/>
          <w:szCs w:val="22"/>
        </w:rPr>
        <w:t xml:space="preserve">En virtud de la vacante correspondiente a </w:t>
      </w:r>
      <w:r w:rsidR="006D4617" w:rsidRPr="00615740">
        <w:rPr>
          <w:rFonts w:ascii="Arial" w:hAnsi="Arial" w:cs="Arial"/>
          <w:sz w:val="22"/>
          <w:szCs w:val="22"/>
        </w:rPr>
        <w:t xml:space="preserve">Asistencia </w:t>
      </w:r>
      <w:r w:rsidRPr="00615740">
        <w:rPr>
          <w:rFonts w:ascii="Arial" w:hAnsi="Arial" w:cs="Arial"/>
          <w:sz w:val="22"/>
          <w:szCs w:val="22"/>
        </w:rPr>
        <w:t>Técnic</w:t>
      </w:r>
      <w:r w:rsidR="006D4617" w:rsidRPr="00615740">
        <w:rPr>
          <w:rFonts w:ascii="Arial" w:hAnsi="Arial" w:cs="Arial"/>
          <w:sz w:val="22"/>
          <w:szCs w:val="22"/>
        </w:rPr>
        <w:t>a</w:t>
      </w:r>
      <w:r w:rsidRPr="00615740">
        <w:rPr>
          <w:rFonts w:ascii="Arial" w:hAnsi="Arial" w:cs="Arial"/>
          <w:sz w:val="22"/>
          <w:szCs w:val="22"/>
        </w:rPr>
        <w:t xml:space="preserve"> </w:t>
      </w:r>
      <w:r w:rsidR="006D4617" w:rsidRPr="00615740">
        <w:rPr>
          <w:rFonts w:ascii="Arial" w:hAnsi="Arial" w:cs="Arial"/>
          <w:sz w:val="22"/>
          <w:szCs w:val="22"/>
        </w:rPr>
        <w:t xml:space="preserve">adscrita a la Coordinación de Prerrogativas y Partidos Políticos de </w:t>
      </w:r>
      <w:r w:rsidRPr="00615740">
        <w:rPr>
          <w:rFonts w:ascii="Arial" w:hAnsi="Arial" w:cs="Arial"/>
          <w:sz w:val="22"/>
          <w:szCs w:val="22"/>
        </w:rPr>
        <w:t xml:space="preserve">la Dirección de Organización Electoral y Educación Cívica y a solicitud de su titular, el 30 de </w:t>
      </w:r>
      <w:r w:rsidR="00F9475F" w:rsidRPr="00615740">
        <w:rPr>
          <w:rFonts w:ascii="Arial" w:hAnsi="Arial" w:cs="Arial"/>
          <w:sz w:val="22"/>
          <w:szCs w:val="22"/>
        </w:rPr>
        <w:t>octubre</w:t>
      </w:r>
      <w:r w:rsidRPr="00615740">
        <w:rPr>
          <w:rFonts w:ascii="Arial" w:hAnsi="Arial" w:cs="Arial"/>
          <w:sz w:val="22"/>
          <w:szCs w:val="22"/>
        </w:rPr>
        <w:t xml:space="preserve"> de 202</w:t>
      </w:r>
      <w:r w:rsidR="00F9475F" w:rsidRPr="00615740">
        <w:rPr>
          <w:rFonts w:ascii="Arial" w:hAnsi="Arial" w:cs="Arial"/>
          <w:sz w:val="22"/>
          <w:szCs w:val="22"/>
        </w:rPr>
        <w:t>4</w:t>
      </w:r>
      <w:r w:rsidRPr="00615740">
        <w:rPr>
          <w:rFonts w:ascii="Arial" w:hAnsi="Arial" w:cs="Arial"/>
          <w:sz w:val="22"/>
          <w:szCs w:val="22"/>
        </w:rPr>
        <w:t xml:space="preserve">, </w:t>
      </w:r>
      <w:r w:rsidR="00F9475F" w:rsidRPr="00615740">
        <w:rPr>
          <w:rFonts w:ascii="Arial" w:hAnsi="Arial" w:cs="Arial"/>
          <w:sz w:val="22"/>
          <w:szCs w:val="22"/>
        </w:rPr>
        <w:t>el Secretario Ejecutivo</w:t>
      </w:r>
      <w:r w:rsidR="0054793A" w:rsidRPr="00615740">
        <w:rPr>
          <w:rFonts w:ascii="Arial" w:hAnsi="Arial" w:cs="Arial"/>
          <w:sz w:val="22"/>
          <w:szCs w:val="22"/>
        </w:rPr>
        <w:t>, mediante oficio SE/3695/2024,</w:t>
      </w:r>
      <w:r w:rsidRPr="00615740">
        <w:rPr>
          <w:rFonts w:ascii="Arial" w:hAnsi="Arial" w:cs="Arial"/>
          <w:sz w:val="22"/>
          <w:szCs w:val="22"/>
        </w:rPr>
        <w:t xml:space="preserve"> designó como encargad</w:t>
      </w:r>
      <w:r w:rsidR="006D4617" w:rsidRPr="00615740">
        <w:rPr>
          <w:rFonts w:ascii="Arial" w:hAnsi="Arial" w:cs="Arial"/>
          <w:sz w:val="22"/>
          <w:szCs w:val="22"/>
        </w:rPr>
        <w:t>o</w:t>
      </w:r>
      <w:r w:rsidRPr="00615740">
        <w:rPr>
          <w:rFonts w:ascii="Arial" w:hAnsi="Arial" w:cs="Arial"/>
          <w:sz w:val="22"/>
          <w:szCs w:val="22"/>
        </w:rPr>
        <w:t xml:space="preserve"> de despacho a </w:t>
      </w:r>
      <w:r w:rsidR="006D4617" w:rsidRPr="00615740">
        <w:rPr>
          <w:rFonts w:ascii="Arial" w:hAnsi="Arial" w:cs="Arial"/>
          <w:sz w:val="22"/>
          <w:szCs w:val="22"/>
        </w:rPr>
        <w:t>Alejandro Haddad Castillo</w:t>
      </w:r>
      <w:r w:rsidR="00F9475F" w:rsidRPr="00615740">
        <w:rPr>
          <w:rFonts w:ascii="Arial" w:hAnsi="Arial" w:cs="Arial"/>
          <w:sz w:val="22"/>
          <w:szCs w:val="22"/>
        </w:rPr>
        <w:t xml:space="preserve"> por un período de seis meses contados a partir del 1 de noviembre de 2024 y hasta el 30 de abril de 2025.</w:t>
      </w:r>
    </w:p>
    <w:p w14:paraId="4BDABA69" w14:textId="591D7338" w:rsidR="003D1076" w:rsidRDefault="00615740" w:rsidP="00735326">
      <w:pPr>
        <w:pStyle w:val="Ttulo1"/>
        <w:spacing w:before="360" w:after="360"/>
        <w:rPr>
          <w:rFonts w:ascii="Arial" w:hAnsi="Arial" w:cs="Arial"/>
          <w:sz w:val="24"/>
          <w:szCs w:val="24"/>
        </w:rPr>
      </w:pPr>
      <w:r>
        <w:rPr>
          <w:rFonts w:ascii="Arial" w:hAnsi="Arial" w:cs="Arial"/>
          <w:sz w:val="24"/>
          <w:szCs w:val="24"/>
        </w:rPr>
        <w:t xml:space="preserve">2 </w:t>
      </w:r>
      <w:r w:rsidR="003D1076" w:rsidRPr="00615740">
        <w:rPr>
          <w:rFonts w:ascii="Arial" w:hAnsi="Arial" w:cs="Arial"/>
          <w:sz w:val="24"/>
          <w:szCs w:val="24"/>
        </w:rPr>
        <w:t>Considerando</w:t>
      </w:r>
    </w:p>
    <w:p w14:paraId="212E395E" w14:textId="5C47E571"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2.1 </w:t>
      </w:r>
      <w:r w:rsidR="003D1076" w:rsidRPr="00615740">
        <w:rPr>
          <w:rFonts w:ascii="Arial" w:hAnsi="Arial" w:cs="Arial"/>
          <w:sz w:val="22"/>
          <w:szCs w:val="22"/>
        </w:rPr>
        <w:t>Competencia de la Junta Ejecutiva</w:t>
      </w:r>
    </w:p>
    <w:p w14:paraId="6A2CF0AE" w14:textId="3CEAF9D4" w:rsidR="003D1076" w:rsidRPr="00615740" w:rsidRDefault="003D1076" w:rsidP="003D1076">
      <w:pPr>
        <w:rPr>
          <w:rFonts w:ascii="Arial" w:hAnsi="Arial" w:cs="Arial"/>
          <w:sz w:val="22"/>
          <w:szCs w:val="22"/>
        </w:rPr>
      </w:pPr>
      <w:r w:rsidRPr="00615740">
        <w:rPr>
          <w:rFonts w:ascii="Arial" w:hAnsi="Arial" w:cs="Arial"/>
          <w:sz w:val="22"/>
          <w:szCs w:val="22"/>
        </w:rPr>
        <w:t>Que, el artículo 119 numeral 1, fracción II de la Ley Electoral establece que, corresponde a la Junta Ejecutiva, fijar los procedimientos administrativos, conforme a las políticas y programas generales del Instituto. Además, en términos del artículo 4, numerales 2 y 3 del Reglamento de Sesiones, la Junta Estatal,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14:paraId="591A3B65" w14:textId="0F8A01AE"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2.2 </w:t>
      </w:r>
      <w:r w:rsidR="003D1076" w:rsidRPr="00615740">
        <w:rPr>
          <w:rFonts w:ascii="Arial" w:hAnsi="Arial" w:cs="Arial"/>
          <w:sz w:val="22"/>
          <w:szCs w:val="22"/>
        </w:rPr>
        <w:t>Atribución del Instituto de aplicar reglas, lineamientos, criterios emitidos por el INE</w:t>
      </w:r>
    </w:p>
    <w:p w14:paraId="4853F7FF" w14:textId="5E657904" w:rsidR="003D1076" w:rsidRPr="00615740" w:rsidRDefault="003D1076" w:rsidP="003D1076">
      <w:pPr>
        <w:rPr>
          <w:rFonts w:ascii="Arial" w:hAnsi="Arial" w:cs="Arial"/>
          <w:sz w:val="22"/>
          <w:szCs w:val="22"/>
        </w:rPr>
      </w:pPr>
      <w:r w:rsidRPr="00615740">
        <w:rPr>
          <w:rFonts w:ascii="Arial" w:hAnsi="Arial" w:cs="Arial"/>
          <w:sz w:val="22"/>
          <w:szCs w:val="22"/>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4D6356CE" w14:textId="32B4367C"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2.3 </w:t>
      </w:r>
      <w:r w:rsidR="003D1076" w:rsidRPr="00615740">
        <w:rPr>
          <w:rFonts w:ascii="Arial" w:hAnsi="Arial" w:cs="Arial"/>
          <w:sz w:val="22"/>
          <w:szCs w:val="22"/>
        </w:rPr>
        <w:t>Servicio Profesional</w:t>
      </w:r>
    </w:p>
    <w:p w14:paraId="7705F39A" w14:textId="77777777" w:rsidR="003D1076" w:rsidRPr="00615740" w:rsidRDefault="003D1076" w:rsidP="003D1076">
      <w:pPr>
        <w:rPr>
          <w:rFonts w:ascii="Arial" w:hAnsi="Arial" w:cs="Arial"/>
          <w:sz w:val="22"/>
          <w:szCs w:val="22"/>
        </w:rPr>
      </w:pPr>
      <w:r w:rsidRPr="00615740">
        <w:rPr>
          <w:rFonts w:ascii="Arial" w:hAnsi="Arial" w:cs="Arial"/>
          <w:sz w:val="22"/>
          <w:szCs w:val="22"/>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3A5F41D3" w14:textId="2524195B" w:rsidR="003D1076" w:rsidRDefault="003D1076" w:rsidP="003D1076">
      <w:pPr>
        <w:rPr>
          <w:rFonts w:ascii="Arial" w:hAnsi="Arial" w:cs="Arial"/>
          <w:sz w:val="22"/>
          <w:szCs w:val="22"/>
        </w:rPr>
      </w:pPr>
      <w:r w:rsidRPr="00615740">
        <w:rPr>
          <w:rFonts w:ascii="Arial" w:hAnsi="Arial" w:cs="Arial"/>
          <w:sz w:val="22"/>
          <w:szCs w:val="22"/>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36CFE43" w14:textId="1C7F6B0D"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 xml:space="preserve">2.4 </w:t>
      </w:r>
      <w:r w:rsidR="003D1076" w:rsidRPr="00615740">
        <w:rPr>
          <w:rFonts w:ascii="Arial" w:hAnsi="Arial" w:cs="Arial"/>
          <w:sz w:val="22"/>
          <w:szCs w:val="22"/>
        </w:rPr>
        <w:t>Facultad del INE para regular el Servicio Profesional</w:t>
      </w:r>
    </w:p>
    <w:p w14:paraId="37633C8A" w14:textId="77777777" w:rsidR="003D1076" w:rsidRPr="00615740" w:rsidRDefault="003D1076" w:rsidP="003D1076">
      <w:pPr>
        <w:rPr>
          <w:rFonts w:ascii="Arial" w:hAnsi="Arial" w:cs="Arial"/>
          <w:sz w:val="22"/>
          <w:szCs w:val="22"/>
        </w:rPr>
      </w:pPr>
      <w:r w:rsidRPr="00615740">
        <w:rPr>
          <w:rFonts w:ascii="Arial" w:hAnsi="Arial" w:cs="Arial"/>
          <w:sz w:val="22"/>
          <w:szCs w:val="22"/>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751638B2" w14:textId="2A5CCC5B" w:rsidR="003D1076" w:rsidRPr="00615740" w:rsidRDefault="00B43B1F" w:rsidP="00735326">
      <w:pPr>
        <w:pStyle w:val="Ttulo2"/>
        <w:spacing w:before="240"/>
        <w:rPr>
          <w:rFonts w:ascii="Arial" w:hAnsi="Arial" w:cs="Arial"/>
          <w:sz w:val="22"/>
          <w:szCs w:val="22"/>
        </w:rPr>
      </w:pPr>
      <w:r>
        <w:rPr>
          <w:rFonts w:ascii="Arial" w:hAnsi="Arial" w:cs="Arial"/>
          <w:sz w:val="22"/>
          <w:szCs w:val="22"/>
        </w:rPr>
        <w:t xml:space="preserve">2.5 </w:t>
      </w:r>
      <w:r w:rsidR="003D1076" w:rsidRPr="00615740">
        <w:rPr>
          <w:rFonts w:ascii="Arial" w:hAnsi="Arial" w:cs="Arial"/>
          <w:sz w:val="22"/>
          <w:szCs w:val="22"/>
        </w:rPr>
        <w:t>Integración, organización y funcionamiento del Servicio Profesional</w:t>
      </w:r>
    </w:p>
    <w:p w14:paraId="7089F833" w14:textId="77777777" w:rsidR="003D1076" w:rsidRPr="00615740" w:rsidRDefault="003D1076" w:rsidP="003D1076">
      <w:pPr>
        <w:rPr>
          <w:rFonts w:ascii="Arial" w:hAnsi="Arial" w:cs="Arial"/>
          <w:sz w:val="22"/>
          <w:szCs w:val="22"/>
        </w:rPr>
      </w:pPr>
      <w:r w:rsidRPr="00615740">
        <w:rPr>
          <w:rFonts w:ascii="Arial" w:hAnsi="Arial" w:cs="Arial"/>
          <w:sz w:val="22"/>
          <w:szCs w:val="22"/>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7803C053" w14:textId="0A8BBC7E"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2.</w:t>
      </w:r>
      <w:r w:rsidR="00B43B1F">
        <w:rPr>
          <w:rFonts w:ascii="Arial" w:hAnsi="Arial" w:cs="Arial"/>
          <w:sz w:val="22"/>
          <w:szCs w:val="22"/>
        </w:rPr>
        <w:t>6</w:t>
      </w:r>
      <w:r w:rsidRPr="00615740">
        <w:rPr>
          <w:rFonts w:ascii="Arial" w:hAnsi="Arial" w:cs="Arial"/>
          <w:sz w:val="22"/>
          <w:szCs w:val="22"/>
        </w:rPr>
        <w:t xml:space="preserve"> </w:t>
      </w:r>
      <w:r w:rsidR="003D1076" w:rsidRPr="00615740">
        <w:rPr>
          <w:rFonts w:ascii="Arial" w:hAnsi="Arial" w:cs="Arial"/>
          <w:sz w:val="22"/>
          <w:szCs w:val="22"/>
        </w:rPr>
        <w:t xml:space="preserve">Servicio Profesional del Sistema de Organismos Electorales </w:t>
      </w:r>
    </w:p>
    <w:p w14:paraId="42F61D79" w14:textId="53F9397C" w:rsidR="003D1076" w:rsidRDefault="003D1076" w:rsidP="003D1076">
      <w:pPr>
        <w:rPr>
          <w:rFonts w:ascii="Arial" w:hAnsi="Arial" w:cs="Arial"/>
          <w:sz w:val="22"/>
          <w:szCs w:val="22"/>
        </w:rPr>
      </w:pPr>
      <w:r w:rsidRPr="00615740">
        <w:rPr>
          <w:rFonts w:ascii="Arial" w:hAnsi="Arial" w:cs="Arial"/>
          <w:sz w:val="22"/>
          <w:szCs w:val="22"/>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76D58564" w14:textId="7FC8722C"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2.</w:t>
      </w:r>
      <w:r w:rsidR="00B43B1F">
        <w:rPr>
          <w:rFonts w:ascii="Arial" w:hAnsi="Arial" w:cs="Arial"/>
          <w:sz w:val="22"/>
          <w:szCs w:val="22"/>
        </w:rPr>
        <w:t>7</w:t>
      </w:r>
      <w:r w:rsidRPr="00615740">
        <w:rPr>
          <w:rFonts w:ascii="Arial" w:hAnsi="Arial" w:cs="Arial"/>
          <w:sz w:val="22"/>
          <w:szCs w:val="22"/>
        </w:rPr>
        <w:t xml:space="preserve"> </w:t>
      </w:r>
      <w:r w:rsidR="003D1076" w:rsidRPr="00615740">
        <w:rPr>
          <w:rFonts w:ascii="Arial" w:hAnsi="Arial" w:cs="Arial"/>
          <w:sz w:val="22"/>
          <w:szCs w:val="22"/>
        </w:rPr>
        <w:t>Encargaduría de despacho</w:t>
      </w:r>
    </w:p>
    <w:p w14:paraId="786B56BE" w14:textId="77777777" w:rsidR="003D1076" w:rsidRPr="00615740" w:rsidRDefault="003D1076" w:rsidP="003D1076">
      <w:pPr>
        <w:rPr>
          <w:rFonts w:ascii="Arial" w:hAnsi="Arial" w:cs="Arial"/>
          <w:sz w:val="22"/>
          <w:szCs w:val="22"/>
        </w:rPr>
      </w:pPr>
      <w:r w:rsidRPr="00615740">
        <w:rPr>
          <w:rFonts w:ascii="Arial" w:hAnsi="Arial" w:cs="Arial"/>
          <w:sz w:val="22"/>
          <w:szCs w:val="22"/>
        </w:rPr>
        <w:t>Que, de conformidad con el artículo 7 de los Lineamientos, la designación de encargos de despacho procederá cuando exista un cargo o puesto vacante en el Servicio que requiera ser ocupado de manera inmediata, o bien la persona del servicio se encuentre en los siguientes supuestos: I). Cuente con licencia, licencia médica o se le haya autorizado Disponibilidad, II). Esté suspendida con motivo de una medida precautoria o de una sanción, III). Ocupe un encargo de despacho en otro cargo o puesto del Servicio, y IV). Ocupe un encargo o comisión para atender las funciones inherentes a un cargo de la Rama Administrativa o para actividades específicas del organismo público electoral.</w:t>
      </w:r>
    </w:p>
    <w:p w14:paraId="48EBBC52" w14:textId="756ADCF9" w:rsidR="003D1076" w:rsidRPr="00615740" w:rsidRDefault="00615740" w:rsidP="00735326">
      <w:pPr>
        <w:pStyle w:val="Ttulo2"/>
        <w:spacing w:before="240"/>
        <w:rPr>
          <w:rFonts w:ascii="Arial" w:hAnsi="Arial" w:cs="Arial"/>
          <w:sz w:val="22"/>
          <w:szCs w:val="22"/>
        </w:rPr>
      </w:pPr>
      <w:r w:rsidRPr="00615740">
        <w:rPr>
          <w:rFonts w:ascii="Arial" w:hAnsi="Arial" w:cs="Arial"/>
          <w:sz w:val="22"/>
          <w:szCs w:val="22"/>
        </w:rPr>
        <w:t>2.</w:t>
      </w:r>
      <w:r w:rsidR="00B43B1F">
        <w:rPr>
          <w:rFonts w:ascii="Arial" w:hAnsi="Arial" w:cs="Arial"/>
          <w:sz w:val="22"/>
          <w:szCs w:val="22"/>
        </w:rPr>
        <w:t>8</w:t>
      </w:r>
      <w:r w:rsidRPr="00615740">
        <w:rPr>
          <w:rFonts w:ascii="Arial" w:hAnsi="Arial" w:cs="Arial"/>
          <w:sz w:val="22"/>
          <w:szCs w:val="22"/>
        </w:rPr>
        <w:t xml:space="preserve"> </w:t>
      </w:r>
      <w:r w:rsidR="003D1076" w:rsidRPr="00615740">
        <w:rPr>
          <w:rFonts w:ascii="Arial" w:hAnsi="Arial" w:cs="Arial"/>
          <w:sz w:val="22"/>
          <w:szCs w:val="22"/>
        </w:rPr>
        <w:t>Requisitos preliminares para la designación de personas encargadas de despacho</w:t>
      </w:r>
    </w:p>
    <w:p w14:paraId="16A47507" w14:textId="77777777" w:rsidR="003D1076" w:rsidRPr="00615740" w:rsidRDefault="003D1076" w:rsidP="003D1076">
      <w:pPr>
        <w:rPr>
          <w:rFonts w:ascii="Arial" w:hAnsi="Arial" w:cs="Arial"/>
          <w:sz w:val="22"/>
          <w:szCs w:val="22"/>
        </w:rPr>
      </w:pPr>
      <w:r w:rsidRPr="00615740">
        <w:rPr>
          <w:rFonts w:ascii="Arial" w:hAnsi="Arial" w:cs="Arial"/>
          <w:sz w:val="22"/>
          <w:szCs w:val="22"/>
        </w:rPr>
        <w:t>Que, de acuerdo con el artículo 8 de los Lineamientos, la propuesta de designación de un encargo de despacho recaerá preferentemente en personal del organismo público electoral que ocupe cargos o puestos inmediatos inferiores a la plaza que pretenda ser ocupada por esa vía.</w:t>
      </w:r>
    </w:p>
    <w:p w14:paraId="3E2A3BD9" w14:textId="77777777" w:rsidR="003D1076" w:rsidRPr="00615740" w:rsidRDefault="003D1076" w:rsidP="003D1076">
      <w:pPr>
        <w:rPr>
          <w:rFonts w:ascii="Arial" w:hAnsi="Arial" w:cs="Arial"/>
          <w:sz w:val="22"/>
          <w:szCs w:val="22"/>
        </w:rPr>
      </w:pPr>
      <w:r w:rsidRPr="00615740">
        <w:rPr>
          <w:rFonts w:ascii="Arial" w:hAnsi="Arial" w:cs="Arial"/>
          <w:sz w:val="22"/>
          <w:szCs w:val="22"/>
        </w:rPr>
        <w:t>Asimismo, en términos del artículo 9 de los Lineamientos, para la designación de encargos de despacho deberá observarse el siguiente orden de prelación: a) personal del servicio; b) personal de la rama administrativa, y c) de manera excepcional, se podrá considerar a las personas prestadoras de servicios.</w:t>
      </w:r>
    </w:p>
    <w:p w14:paraId="7546D769" w14:textId="713D3345" w:rsidR="003D1076" w:rsidRPr="00615740" w:rsidRDefault="00615740" w:rsidP="00735326">
      <w:pPr>
        <w:pStyle w:val="Ttulo2"/>
        <w:spacing w:before="240"/>
        <w:rPr>
          <w:rFonts w:ascii="Arial" w:hAnsi="Arial" w:cs="Arial"/>
          <w:sz w:val="22"/>
          <w:szCs w:val="22"/>
        </w:rPr>
      </w:pPr>
      <w:r>
        <w:rPr>
          <w:rFonts w:ascii="Arial" w:hAnsi="Arial" w:cs="Arial"/>
          <w:sz w:val="22"/>
          <w:szCs w:val="22"/>
        </w:rPr>
        <w:t>2.</w:t>
      </w:r>
      <w:r w:rsidR="00B43B1F">
        <w:rPr>
          <w:rFonts w:ascii="Arial" w:hAnsi="Arial" w:cs="Arial"/>
          <w:sz w:val="22"/>
          <w:szCs w:val="22"/>
        </w:rPr>
        <w:t>9</w:t>
      </w:r>
      <w:r>
        <w:rPr>
          <w:rFonts w:ascii="Arial" w:hAnsi="Arial" w:cs="Arial"/>
          <w:sz w:val="22"/>
          <w:szCs w:val="22"/>
        </w:rPr>
        <w:t xml:space="preserve"> </w:t>
      </w:r>
      <w:r w:rsidR="003D1076" w:rsidRPr="00615740">
        <w:rPr>
          <w:rFonts w:ascii="Arial" w:hAnsi="Arial" w:cs="Arial"/>
          <w:sz w:val="22"/>
          <w:szCs w:val="22"/>
        </w:rPr>
        <w:t>Requisitos que deben reunir las personas propuestas</w:t>
      </w:r>
    </w:p>
    <w:p w14:paraId="39C2C058" w14:textId="77777777" w:rsidR="003D1076" w:rsidRPr="00615740" w:rsidRDefault="003D1076" w:rsidP="003D1076">
      <w:pPr>
        <w:rPr>
          <w:rFonts w:ascii="Arial" w:hAnsi="Arial" w:cs="Arial"/>
          <w:sz w:val="22"/>
          <w:szCs w:val="22"/>
        </w:rPr>
      </w:pPr>
      <w:r w:rsidRPr="00615740">
        <w:rPr>
          <w:rFonts w:ascii="Arial" w:hAnsi="Arial" w:cs="Arial"/>
          <w:sz w:val="22"/>
          <w:szCs w:val="22"/>
        </w:rPr>
        <w:t>Que, el artículo 11 de los Lineamientos, refiere que, en el supuesto de que el encargo de despacho recaiga en personal del servicio o de la rama administrativa, el área solicitante solamente deberá acreditar que cuenta con credencial para votar vigente y cumple con los requisitos del perfil del cargo o puesto materia del encargo.</w:t>
      </w:r>
    </w:p>
    <w:p w14:paraId="7F59CAB4" w14:textId="77777777" w:rsidR="003D1076" w:rsidRPr="00615740" w:rsidRDefault="003D1076" w:rsidP="003D1076">
      <w:pPr>
        <w:rPr>
          <w:rFonts w:ascii="Arial" w:hAnsi="Arial" w:cs="Arial"/>
          <w:sz w:val="22"/>
          <w:szCs w:val="22"/>
        </w:rPr>
      </w:pPr>
      <w:r w:rsidRPr="00615740">
        <w:rPr>
          <w:rFonts w:ascii="Arial" w:hAnsi="Arial" w:cs="Arial"/>
          <w:sz w:val="22"/>
          <w:szCs w:val="22"/>
        </w:rPr>
        <w:t>En el caso de que se proponga para un encargo a personas prestadoras de servicios deberán acreditar lo siguiente:</w:t>
      </w:r>
    </w:p>
    <w:p w14:paraId="32C25A52" w14:textId="77777777" w:rsidR="003D1076" w:rsidRPr="00615740" w:rsidRDefault="003D1076" w:rsidP="003D1076">
      <w:pPr>
        <w:rPr>
          <w:rFonts w:ascii="Arial" w:hAnsi="Arial" w:cs="Arial"/>
          <w:sz w:val="22"/>
          <w:szCs w:val="22"/>
        </w:rPr>
      </w:pPr>
      <w:r w:rsidRPr="00615740">
        <w:rPr>
          <w:rFonts w:ascii="Arial" w:hAnsi="Arial" w:cs="Arial"/>
          <w:sz w:val="22"/>
          <w:szCs w:val="22"/>
        </w:rPr>
        <w:t>“I. Tener la ciudadanía mexicana y estar en pleno goce y ejercicio de sus derechos políticos y civiles;</w:t>
      </w:r>
    </w:p>
    <w:p w14:paraId="650FCA3D" w14:textId="77777777" w:rsidR="003D1076" w:rsidRPr="00615740" w:rsidRDefault="003D1076" w:rsidP="003D1076">
      <w:pPr>
        <w:rPr>
          <w:rFonts w:ascii="Arial" w:hAnsi="Arial" w:cs="Arial"/>
          <w:sz w:val="22"/>
          <w:szCs w:val="22"/>
        </w:rPr>
      </w:pPr>
      <w:r w:rsidRPr="00615740">
        <w:rPr>
          <w:rFonts w:ascii="Arial" w:hAnsi="Arial" w:cs="Arial"/>
          <w:sz w:val="22"/>
          <w:szCs w:val="22"/>
        </w:rPr>
        <w:t>II. Estar inscrita en el Registro Federal de Electores y contar con credencial para votar vigente;</w:t>
      </w:r>
    </w:p>
    <w:p w14:paraId="29CE66D2" w14:textId="77777777" w:rsidR="003D1076" w:rsidRPr="00615740" w:rsidRDefault="003D1076" w:rsidP="003D1076">
      <w:pPr>
        <w:rPr>
          <w:rFonts w:ascii="Arial" w:hAnsi="Arial" w:cs="Arial"/>
          <w:sz w:val="22"/>
          <w:szCs w:val="22"/>
        </w:rPr>
      </w:pPr>
      <w:r w:rsidRPr="00615740">
        <w:rPr>
          <w:rFonts w:ascii="Arial" w:hAnsi="Arial" w:cs="Arial"/>
          <w:sz w:val="22"/>
          <w:szCs w:val="22"/>
        </w:rPr>
        <w:t>III. No ser militante de algún partido político;</w:t>
      </w:r>
    </w:p>
    <w:p w14:paraId="6E4B45E7" w14:textId="77777777" w:rsidR="003D1076" w:rsidRPr="00615740" w:rsidRDefault="003D1076" w:rsidP="003D1076">
      <w:pPr>
        <w:rPr>
          <w:rFonts w:ascii="Arial" w:hAnsi="Arial" w:cs="Arial"/>
          <w:sz w:val="22"/>
          <w:szCs w:val="22"/>
        </w:rPr>
      </w:pPr>
      <w:r w:rsidRPr="00615740">
        <w:rPr>
          <w:rFonts w:ascii="Arial" w:hAnsi="Arial" w:cs="Arial"/>
          <w:sz w:val="22"/>
          <w:szCs w:val="22"/>
        </w:rPr>
        <w:t>IV. No haber sido registrada por un partido político a cargo alguno de elección popular en los últimos tres años anteriores a la designación;</w:t>
      </w:r>
    </w:p>
    <w:p w14:paraId="58C590EC" w14:textId="77777777" w:rsidR="003D1076" w:rsidRPr="00615740" w:rsidRDefault="003D1076" w:rsidP="003D1076">
      <w:pPr>
        <w:rPr>
          <w:rFonts w:ascii="Arial" w:hAnsi="Arial" w:cs="Arial"/>
          <w:sz w:val="22"/>
          <w:szCs w:val="22"/>
        </w:rPr>
      </w:pPr>
      <w:r w:rsidRPr="00615740">
        <w:rPr>
          <w:rFonts w:ascii="Arial" w:hAnsi="Arial" w:cs="Arial"/>
          <w:sz w:val="22"/>
          <w:szCs w:val="22"/>
        </w:rPr>
        <w:t>V. No ser o haber sido integrante de la dirigencia nacional, estatal o municipal de algún partido político en los tres años inmediatos anteriores a la designación;</w:t>
      </w:r>
    </w:p>
    <w:p w14:paraId="2E559E0E" w14:textId="77777777" w:rsidR="003D1076" w:rsidRPr="00615740" w:rsidRDefault="003D1076" w:rsidP="003D1076">
      <w:pPr>
        <w:rPr>
          <w:rFonts w:ascii="Arial" w:hAnsi="Arial" w:cs="Arial"/>
          <w:sz w:val="22"/>
          <w:szCs w:val="22"/>
        </w:rPr>
      </w:pPr>
      <w:r w:rsidRPr="00615740">
        <w:rPr>
          <w:rFonts w:ascii="Arial" w:hAnsi="Arial" w:cs="Arial"/>
          <w:sz w:val="22"/>
          <w:szCs w:val="22"/>
        </w:rPr>
        <w:t>VI. No estar inhabilitada para ocupar cargo o puesto público federal, local o municipal, y</w:t>
      </w:r>
    </w:p>
    <w:p w14:paraId="259D3D47" w14:textId="77777777" w:rsidR="003D1076" w:rsidRPr="00615740" w:rsidRDefault="003D1076" w:rsidP="003D1076">
      <w:pPr>
        <w:rPr>
          <w:rFonts w:ascii="Arial" w:hAnsi="Arial" w:cs="Arial"/>
          <w:sz w:val="22"/>
          <w:szCs w:val="22"/>
        </w:rPr>
      </w:pPr>
      <w:r w:rsidRPr="00615740">
        <w:rPr>
          <w:rFonts w:ascii="Arial" w:hAnsi="Arial" w:cs="Arial"/>
          <w:sz w:val="22"/>
          <w:szCs w:val="22"/>
        </w:rPr>
        <w:t>VII. No haber sido condenada por delito alguno, salvo que hubiese sido de carácter culposo.”</w:t>
      </w:r>
    </w:p>
    <w:p w14:paraId="1C449D7E" w14:textId="3C37BAFE" w:rsidR="003D1076" w:rsidRPr="00615740" w:rsidRDefault="00615740" w:rsidP="009637DA">
      <w:pPr>
        <w:pStyle w:val="Ttulo2"/>
        <w:spacing w:before="240"/>
        <w:rPr>
          <w:rFonts w:ascii="Arial" w:hAnsi="Arial" w:cs="Arial"/>
          <w:sz w:val="22"/>
          <w:szCs w:val="22"/>
        </w:rPr>
      </w:pPr>
      <w:r>
        <w:rPr>
          <w:rFonts w:ascii="Arial" w:hAnsi="Arial" w:cs="Arial"/>
          <w:sz w:val="22"/>
          <w:szCs w:val="22"/>
        </w:rPr>
        <w:t>2.</w:t>
      </w:r>
      <w:r w:rsidR="00B43B1F">
        <w:rPr>
          <w:rFonts w:ascii="Arial" w:hAnsi="Arial" w:cs="Arial"/>
          <w:sz w:val="22"/>
          <w:szCs w:val="22"/>
        </w:rPr>
        <w:t>10</w:t>
      </w:r>
      <w:r>
        <w:rPr>
          <w:rFonts w:ascii="Arial" w:hAnsi="Arial" w:cs="Arial"/>
          <w:sz w:val="22"/>
          <w:szCs w:val="22"/>
        </w:rPr>
        <w:t xml:space="preserve"> </w:t>
      </w:r>
      <w:r w:rsidR="003D1076" w:rsidRPr="00615740">
        <w:rPr>
          <w:rFonts w:ascii="Arial" w:hAnsi="Arial" w:cs="Arial"/>
          <w:sz w:val="22"/>
          <w:szCs w:val="22"/>
        </w:rPr>
        <w:t>Procedimiento para gestionar las solicitudes de encargos de despacho</w:t>
      </w:r>
    </w:p>
    <w:p w14:paraId="0F5AB64E" w14:textId="671AFFBD" w:rsidR="003D1076" w:rsidRPr="00615740" w:rsidRDefault="003D1076" w:rsidP="003D1076">
      <w:pPr>
        <w:rPr>
          <w:rFonts w:ascii="Arial" w:hAnsi="Arial" w:cs="Arial"/>
          <w:sz w:val="22"/>
          <w:szCs w:val="22"/>
        </w:rPr>
      </w:pPr>
      <w:r w:rsidRPr="00615740">
        <w:rPr>
          <w:rFonts w:ascii="Arial" w:hAnsi="Arial" w:cs="Arial"/>
          <w:sz w:val="22"/>
          <w:szCs w:val="22"/>
        </w:rPr>
        <w:t>Que, conforme al artículo 12 de los Lineamientos, las personas titulares de las áreas ejecutivas y técnicas del organismo público electoral deberán solicitar, por oficio a la persona titular de la Secretaría Ejecutiva, la ocupación de cargos y puestos a través de un encargo de despacho, acreditando el cumplimiento de los requisitos previstos en el artículo 11 de los Lineamientos según corresponda.</w:t>
      </w:r>
    </w:p>
    <w:p w14:paraId="26108569" w14:textId="77777777" w:rsidR="003D1076" w:rsidRPr="00615740" w:rsidRDefault="003D1076" w:rsidP="003D1076">
      <w:pPr>
        <w:rPr>
          <w:rFonts w:ascii="Arial" w:hAnsi="Arial" w:cs="Arial"/>
          <w:sz w:val="22"/>
          <w:szCs w:val="22"/>
        </w:rPr>
      </w:pPr>
      <w:r w:rsidRPr="00615740">
        <w:rPr>
          <w:rFonts w:ascii="Arial" w:hAnsi="Arial" w:cs="Arial"/>
          <w:sz w:val="22"/>
          <w:szCs w:val="22"/>
        </w:rPr>
        <w:t>Para ello, el oficio de solicitud deberá contener la siguiente información: I). denominación del cargo o puesto, II). adscripción que habrá de ocupar la persona propuesta, III). fecha a partir de la cual se requiere la designación, IV). justificación que acredite la necesidad de la urgente ocupación del cargo o puesto, y V). En su caso, la justificación cuando no se observe el orden de prelación previsto en los Lineamientos.</w:t>
      </w:r>
    </w:p>
    <w:p w14:paraId="62DAD406" w14:textId="77777777" w:rsidR="003D1076" w:rsidRPr="00615740" w:rsidRDefault="003D1076" w:rsidP="003D1076">
      <w:pPr>
        <w:rPr>
          <w:rFonts w:ascii="Arial" w:hAnsi="Arial" w:cs="Arial"/>
          <w:sz w:val="22"/>
          <w:szCs w:val="22"/>
        </w:rPr>
      </w:pPr>
      <w:r w:rsidRPr="00615740">
        <w:rPr>
          <w:rFonts w:ascii="Arial" w:hAnsi="Arial" w:cs="Arial"/>
          <w:sz w:val="22"/>
          <w:szCs w:val="22"/>
        </w:rPr>
        <w:t>Las solicitudes deberán remitirse a la Dirección Ejecutiva del Servicio Profesional Electoral Nacional en un plazo mínimo de siete días hábiles previos, a la fecha en que surtirá efectos la designación, por lo que no se gestionarán aquellas que se encuentren fuera de este plazo, salvo casos excepcionales donde se acredite la urgencia de la ocupación.</w:t>
      </w:r>
    </w:p>
    <w:p w14:paraId="0004E3F1" w14:textId="77777777" w:rsidR="003D1076" w:rsidRPr="00615740" w:rsidRDefault="003D1076" w:rsidP="003D1076">
      <w:pPr>
        <w:rPr>
          <w:rFonts w:ascii="Arial" w:hAnsi="Arial" w:cs="Arial"/>
          <w:sz w:val="22"/>
          <w:szCs w:val="22"/>
        </w:rPr>
      </w:pPr>
      <w:r w:rsidRPr="00615740">
        <w:rPr>
          <w:rFonts w:ascii="Arial" w:hAnsi="Arial" w:cs="Arial"/>
          <w:sz w:val="22"/>
          <w:szCs w:val="22"/>
        </w:rPr>
        <w:t>Por su parte, el artículo 13 de los Lineamientos, señala que, la persona titular de la Secretaría Ejecutiva instruirá al Órgano de Enlace gestionar la designación de encargos de despacho quien, verificará en un plazo de hasta cinco días hábiles, contados a partir del día siguiente a la recepción de la solicitud, el cumplimiento de los requisitos establecidos en el Estatuto, el Catálogo del Servicio y los Lineamientos.</w:t>
      </w:r>
    </w:p>
    <w:p w14:paraId="56A94E65" w14:textId="77777777" w:rsidR="003D1076" w:rsidRPr="00615740" w:rsidRDefault="003D1076" w:rsidP="003D1076">
      <w:pPr>
        <w:rPr>
          <w:rFonts w:ascii="Arial" w:hAnsi="Arial" w:cs="Arial"/>
          <w:sz w:val="22"/>
          <w:szCs w:val="22"/>
        </w:rPr>
      </w:pPr>
      <w:r w:rsidRPr="00615740">
        <w:rPr>
          <w:rFonts w:ascii="Arial" w:hAnsi="Arial" w:cs="Arial"/>
          <w:sz w:val="22"/>
          <w:szCs w:val="22"/>
        </w:rPr>
        <w:t>De no recibir la documentación completa que acredite el cumplimiento de requisitos, el Órgano de Enlace requerirá la documentación faltante, y una vez recibida, iniciará nuevamente el cómputo del plazo señalado en el párrafo anterior.</w:t>
      </w:r>
    </w:p>
    <w:p w14:paraId="2697D753" w14:textId="0D407166" w:rsidR="003D1076" w:rsidRDefault="003D1076" w:rsidP="003D1076">
      <w:pPr>
        <w:rPr>
          <w:rFonts w:ascii="Arial" w:hAnsi="Arial" w:cs="Arial"/>
          <w:sz w:val="22"/>
          <w:szCs w:val="22"/>
        </w:rPr>
      </w:pPr>
      <w:r w:rsidRPr="00615740">
        <w:rPr>
          <w:rFonts w:ascii="Arial" w:hAnsi="Arial" w:cs="Arial"/>
          <w:sz w:val="22"/>
          <w:szCs w:val="22"/>
        </w:rPr>
        <w:t>Finalmente, en términos del artículo 14 de los Lineamientos, el Órgano de Enlace, una vez realizado lo anterior, previo conocimiento de la Comisión de Seguimiento enviará inmediatamente por oficio los expedientes respectivos a la Dirección Ejecutiva del Servicio Profesional Electoral Nacional, a fin de que dicha instancia lleve a cabo la verificación de la viabilidad normativa de la propuesta.</w:t>
      </w:r>
    </w:p>
    <w:p w14:paraId="0D3FFC16" w14:textId="05266F54" w:rsidR="003D1076" w:rsidRPr="00615740" w:rsidRDefault="00615740" w:rsidP="003D1076">
      <w:pPr>
        <w:rPr>
          <w:rFonts w:ascii="Arial" w:hAnsi="Arial" w:cs="Arial"/>
          <w:b/>
          <w:sz w:val="22"/>
          <w:szCs w:val="22"/>
        </w:rPr>
      </w:pPr>
      <w:r w:rsidRPr="00615740">
        <w:rPr>
          <w:rFonts w:ascii="Arial" w:hAnsi="Arial" w:cs="Arial"/>
          <w:b/>
          <w:sz w:val="22"/>
          <w:szCs w:val="22"/>
        </w:rPr>
        <w:t>2.1</w:t>
      </w:r>
      <w:r w:rsidR="00B43B1F">
        <w:rPr>
          <w:rFonts w:ascii="Arial" w:hAnsi="Arial" w:cs="Arial"/>
          <w:b/>
          <w:sz w:val="22"/>
          <w:szCs w:val="22"/>
        </w:rPr>
        <w:t>1</w:t>
      </w:r>
      <w:r w:rsidR="003D1076" w:rsidRPr="00615740">
        <w:rPr>
          <w:rFonts w:ascii="Arial" w:hAnsi="Arial" w:cs="Arial"/>
          <w:b/>
          <w:sz w:val="22"/>
          <w:szCs w:val="22"/>
        </w:rPr>
        <w:tab/>
        <w:t>Designación, vigencia y conclusión de encargos de despacho</w:t>
      </w:r>
    </w:p>
    <w:p w14:paraId="6AB69F53" w14:textId="77777777" w:rsidR="003D1076" w:rsidRPr="00615740" w:rsidRDefault="003D1076" w:rsidP="003D1076">
      <w:pPr>
        <w:rPr>
          <w:rFonts w:ascii="Arial" w:hAnsi="Arial" w:cs="Arial"/>
          <w:sz w:val="22"/>
          <w:szCs w:val="22"/>
        </w:rPr>
      </w:pPr>
      <w:r w:rsidRPr="00615740">
        <w:rPr>
          <w:rFonts w:ascii="Arial" w:hAnsi="Arial" w:cs="Arial"/>
          <w:sz w:val="22"/>
          <w:szCs w:val="22"/>
        </w:rPr>
        <w:t>Que, en términos de los artículos 16 y 17 de los Lineamientos, en aquellos casos en que se haya determinado la viabilidad de los encargos de despacho, la designación se autorizará mediante oficio firmado por la persona titular de la Secretaría Ejecutiva; los movimientos respectivos se harán del conocimiento de la Comisión de Seguimiento y de la Dirección Ejecutiva del Servicio Profesional Electoral Nacional, en un plazo máximo tres días posteriores a su designación. En todo caso, los encargos de despacho tendrán una vigencia máxima de seis meses y podrá renovarse hasta por dos periodos iguales, previa justificación que motive la continuidad.</w:t>
      </w:r>
    </w:p>
    <w:p w14:paraId="7B0B157E" w14:textId="0F4CFA7B" w:rsidR="003D1076" w:rsidRPr="00615740" w:rsidRDefault="003D1076" w:rsidP="003D1076">
      <w:pPr>
        <w:rPr>
          <w:rFonts w:ascii="Arial" w:hAnsi="Arial" w:cs="Arial"/>
          <w:b/>
          <w:sz w:val="22"/>
          <w:szCs w:val="22"/>
        </w:rPr>
      </w:pPr>
      <w:r w:rsidRPr="00615740">
        <w:rPr>
          <w:rFonts w:ascii="Arial" w:hAnsi="Arial" w:cs="Arial"/>
          <w:b/>
          <w:sz w:val="22"/>
          <w:szCs w:val="22"/>
        </w:rPr>
        <w:t>2.1</w:t>
      </w:r>
      <w:r w:rsidR="00B43B1F">
        <w:rPr>
          <w:rFonts w:ascii="Arial" w:hAnsi="Arial" w:cs="Arial"/>
          <w:b/>
          <w:sz w:val="22"/>
          <w:szCs w:val="22"/>
        </w:rPr>
        <w:t>2</w:t>
      </w:r>
      <w:r w:rsidRPr="00615740">
        <w:rPr>
          <w:rFonts w:ascii="Arial" w:hAnsi="Arial" w:cs="Arial"/>
          <w:b/>
          <w:sz w:val="22"/>
          <w:szCs w:val="22"/>
        </w:rPr>
        <w:tab/>
        <w:t>Renovación de los encargos de despacho</w:t>
      </w:r>
    </w:p>
    <w:p w14:paraId="73447F4D" w14:textId="77777777" w:rsidR="003D1076" w:rsidRPr="00615740" w:rsidRDefault="003D1076" w:rsidP="003D1076">
      <w:pPr>
        <w:rPr>
          <w:rFonts w:ascii="Arial" w:hAnsi="Arial" w:cs="Arial"/>
          <w:sz w:val="22"/>
          <w:szCs w:val="22"/>
        </w:rPr>
      </w:pPr>
      <w:r w:rsidRPr="00615740">
        <w:rPr>
          <w:rFonts w:ascii="Arial" w:hAnsi="Arial" w:cs="Arial"/>
          <w:sz w:val="22"/>
          <w:szCs w:val="22"/>
        </w:rPr>
        <w:t>Que, el artículo 21 de los Lineamientos, establece que, para renovar un encargo de despacho la solicitud deberá efectuarse por la instancia que hizo la solicitud original, por oficio, con una anticipación de al menos diez días hábiles, a la fecha de su vencimiento. De no hacerlo, el Órgano de Enlace procederá a dar por concluido el encargo de despacho.</w:t>
      </w:r>
    </w:p>
    <w:p w14:paraId="25D4A8FB" w14:textId="0DE85B24" w:rsidR="003D1076" w:rsidRDefault="003D1076" w:rsidP="003D1076">
      <w:pPr>
        <w:rPr>
          <w:rFonts w:ascii="Arial" w:hAnsi="Arial" w:cs="Arial"/>
          <w:sz w:val="22"/>
          <w:szCs w:val="22"/>
        </w:rPr>
      </w:pPr>
      <w:r w:rsidRPr="00615740">
        <w:rPr>
          <w:rFonts w:ascii="Arial" w:hAnsi="Arial" w:cs="Arial"/>
          <w:sz w:val="22"/>
          <w:szCs w:val="22"/>
        </w:rPr>
        <w:t>Asimismo, en términos del artículo 22 de los Lineamientos, la autorización para renovar un encargo de despacho deberá ser aprobada por la Junta Ejecutiva, su equivalente, o en su caso, por el Órgano Superior, previo conocimiento de la Comisión de Seguimiento.</w:t>
      </w:r>
    </w:p>
    <w:p w14:paraId="484BA404" w14:textId="57AA383C" w:rsidR="003D1076" w:rsidRPr="00902018" w:rsidRDefault="00615740" w:rsidP="009637DA">
      <w:pPr>
        <w:pStyle w:val="Ttulo2"/>
        <w:spacing w:before="240"/>
        <w:rPr>
          <w:rFonts w:ascii="Arial" w:hAnsi="Arial" w:cs="Arial"/>
          <w:sz w:val="22"/>
          <w:szCs w:val="22"/>
        </w:rPr>
      </w:pPr>
      <w:r>
        <w:rPr>
          <w:rFonts w:ascii="Arial" w:hAnsi="Arial" w:cs="Arial"/>
          <w:sz w:val="22"/>
          <w:szCs w:val="22"/>
        </w:rPr>
        <w:t>2.1</w:t>
      </w:r>
      <w:r w:rsidR="00B43B1F">
        <w:rPr>
          <w:rFonts w:ascii="Arial" w:hAnsi="Arial" w:cs="Arial"/>
          <w:sz w:val="22"/>
          <w:szCs w:val="22"/>
        </w:rPr>
        <w:t>3</w:t>
      </w:r>
      <w:r>
        <w:rPr>
          <w:rFonts w:ascii="Arial" w:hAnsi="Arial" w:cs="Arial"/>
          <w:sz w:val="22"/>
          <w:szCs w:val="22"/>
        </w:rPr>
        <w:t xml:space="preserve"> </w:t>
      </w:r>
      <w:r w:rsidR="003D1076" w:rsidRPr="00902018">
        <w:rPr>
          <w:rFonts w:ascii="Arial" w:hAnsi="Arial" w:cs="Arial"/>
          <w:sz w:val="22"/>
          <w:szCs w:val="22"/>
        </w:rPr>
        <w:t>Solicitud de renovación del encargo de despacho</w:t>
      </w:r>
    </w:p>
    <w:p w14:paraId="18DFFEFA" w14:textId="5B24D592" w:rsidR="003D1076" w:rsidRPr="00902018" w:rsidRDefault="003D1076" w:rsidP="003D1076">
      <w:pPr>
        <w:rPr>
          <w:rFonts w:ascii="Arial" w:hAnsi="Arial" w:cs="Arial"/>
          <w:sz w:val="22"/>
          <w:szCs w:val="22"/>
        </w:rPr>
      </w:pPr>
      <w:r w:rsidRPr="00902018">
        <w:rPr>
          <w:rFonts w:ascii="Arial" w:hAnsi="Arial" w:cs="Arial"/>
          <w:sz w:val="22"/>
          <w:szCs w:val="22"/>
        </w:rPr>
        <w:t>Que, en virtud de la solicitud realizada mediante oficio D</w:t>
      </w:r>
      <w:r w:rsidR="006D4617" w:rsidRPr="00902018">
        <w:rPr>
          <w:rFonts w:ascii="Arial" w:hAnsi="Arial" w:cs="Arial"/>
          <w:sz w:val="22"/>
          <w:szCs w:val="22"/>
        </w:rPr>
        <w:t>O</w:t>
      </w:r>
      <w:r w:rsidRPr="00902018">
        <w:rPr>
          <w:rFonts w:ascii="Arial" w:hAnsi="Arial" w:cs="Arial"/>
          <w:sz w:val="22"/>
          <w:szCs w:val="22"/>
        </w:rPr>
        <w:t>EEC/</w:t>
      </w:r>
      <w:r w:rsidR="006D4617" w:rsidRPr="00902018">
        <w:rPr>
          <w:rFonts w:ascii="Arial" w:hAnsi="Arial" w:cs="Arial"/>
          <w:sz w:val="22"/>
          <w:szCs w:val="22"/>
        </w:rPr>
        <w:t>399</w:t>
      </w:r>
      <w:r w:rsidRPr="00902018">
        <w:rPr>
          <w:rFonts w:ascii="Arial" w:hAnsi="Arial" w:cs="Arial"/>
          <w:sz w:val="22"/>
          <w:szCs w:val="22"/>
        </w:rPr>
        <w:t>/202</w:t>
      </w:r>
      <w:r w:rsidR="006D4617" w:rsidRPr="00902018">
        <w:rPr>
          <w:rFonts w:ascii="Arial" w:hAnsi="Arial" w:cs="Arial"/>
          <w:sz w:val="22"/>
          <w:szCs w:val="22"/>
        </w:rPr>
        <w:t>5</w:t>
      </w:r>
      <w:r w:rsidRPr="00902018">
        <w:rPr>
          <w:rFonts w:ascii="Arial" w:hAnsi="Arial" w:cs="Arial"/>
          <w:sz w:val="22"/>
          <w:szCs w:val="22"/>
        </w:rPr>
        <w:t xml:space="preserve"> de fecha 9 de </w:t>
      </w:r>
      <w:r w:rsidR="006D4617" w:rsidRPr="00902018">
        <w:rPr>
          <w:rFonts w:ascii="Arial" w:hAnsi="Arial" w:cs="Arial"/>
          <w:sz w:val="22"/>
          <w:szCs w:val="22"/>
        </w:rPr>
        <w:t xml:space="preserve">abril </w:t>
      </w:r>
      <w:r w:rsidRPr="00902018">
        <w:rPr>
          <w:rFonts w:ascii="Arial" w:hAnsi="Arial" w:cs="Arial"/>
          <w:sz w:val="22"/>
          <w:szCs w:val="22"/>
        </w:rPr>
        <w:t>de 202</w:t>
      </w:r>
      <w:r w:rsidR="006D4617" w:rsidRPr="00902018">
        <w:rPr>
          <w:rFonts w:ascii="Arial" w:hAnsi="Arial" w:cs="Arial"/>
          <w:sz w:val="22"/>
          <w:szCs w:val="22"/>
        </w:rPr>
        <w:t>5</w:t>
      </w:r>
      <w:r w:rsidRPr="00902018">
        <w:rPr>
          <w:rFonts w:ascii="Arial" w:hAnsi="Arial" w:cs="Arial"/>
          <w:sz w:val="22"/>
          <w:szCs w:val="22"/>
        </w:rPr>
        <w:t xml:space="preserve">, suscrito por el </w:t>
      </w:r>
      <w:r w:rsidR="006D4617" w:rsidRPr="00902018">
        <w:rPr>
          <w:rFonts w:ascii="Arial" w:hAnsi="Arial" w:cs="Arial"/>
          <w:sz w:val="22"/>
          <w:szCs w:val="22"/>
        </w:rPr>
        <w:t xml:space="preserve">Director </w:t>
      </w:r>
      <w:r w:rsidRPr="00902018">
        <w:rPr>
          <w:rFonts w:ascii="Arial" w:hAnsi="Arial" w:cs="Arial"/>
          <w:sz w:val="22"/>
          <w:szCs w:val="22"/>
        </w:rPr>
        <w:t xml:space="preserve">de Organización Electoral y Educación Cívica, en términos del artículo 22 de los Lineamientos, previo conocimiento de la Comisión de Seguimiento, se propuso la renovación del encargo de despacho de </w:t>
      </w:r>
      <w:r w:rsidR="006D4617" w:rsidRPr="00902018">
        <w:rPr>
          <w:rFonts w:ascii="Arial" w:hAnsi="Arial" w:cs="Arial"/>
          <w:sz w:val="22"/>
          <w:szCs w:val="22"/>
        </w:rPr>
        <w:t xml:space="preserve">Alejandro Haddad Castillo </w:t>
      </w:r>
      <w:r w:rsidRPr="00902018">
        <w:rPr>
          <w:rFonts w:ascii="Arial" w:hAnsi="Arial" w:cs="Arial"/>
          <w:sz w:val="22"/>
          <w:szCs w:val="22"/>
        </w:rPr>
        <w:t xml:space="preserve">en el cargo de </w:t>
      </w:r>
      <w:r w:rsidR="006D4617" w:rsidRPr="00902018">
        <w:rPr>
          <w:rFonts w:ascii="Arial" w:hAnsi="Arial" w:cs="Arial"/>
          <w:sz w:val="22"/>
          <w:szCs w:val="22"/>
        </w:rPr>
        <w:t xml:space="preserve">Asistente </w:t>
      </w:r>
      <w:r w:rsidRPr="00902018">
        <w:rPr>
          <w:rFonts w:ascii="Arial" w:hAnsi="Arial" w:cs="Arial"/>
          <w:sz w:val="22"/>
          <w:szCs w:val="22"/>
        </w:rPr>
        <w:t xml:space="preserve">Técnico </w:t>
      </w:r>
      <w:r w:rsidR="006D4617" w:rsidRPr="00902018">
        <w:rPr>
          <w:rFonts w:ascii="Arial" w:hAnsi="Arial" w:cs="Arial"/>
          <w:sz w:val="22"/>
          <w:szCs w:val="22"/>
        </w:rPr>
        <w:t xml:space="preserve">adscrito a la Coordinación de Prerrogativas y Partidos Políticos de la Dirección señalada, </w:t>
      </w:r>
      <w:r w:rsidRPr="00902018">
        <w:rPr>
          <w:rFonts w:ascii="Arial" w:hAnsi="Arial" w:cs="Arial"/>
          <w:sz w:val="22"/>
          <w:szCs w:val="22"/>
        </w:rPr>
        <w:t>incorporado al Servicio Profesional Electoral Nacional de este Instituto.</w:t>
      </w:r>
    </w:p>
    <w:p w14:paraId="64458845" w14:textId="452CB327" w:rsidR="003D1076" w:rsidRDefault="003D1076" w:rsidP="00735326">
      <w:pPr>
        <w:rPr>
          <w:rFonts w:ascii="Arial" w:hAnsi="Arial" w:cs="Arial"/>
          <w:sz w:val="22"/>
          <w:szCs w:val="22"/>
        </w:rPr>
      </w:pPr>
      <w:r w:rsidRPr="00902018">
        <w:rPr>
          <w:rFonts w:ascii="Arial" w:hAnsi="Arial" w:cs="Arial"/>
          <w:sz w:val="22"/>
          <w:szCs w:val="22"/>
        </w:rPr>
        <w:t xml:space="preserve">En ese sentido, considerando que, la persona mencionada mantiene el cumplimiento de los requisitos que exigen los Lineamientos, y no existe inconveniente legal para ello, este órgano electoral aprueba la renovación del encargo de despacho de la persona señalada por el período del 1 de </w:t>
      </w:r>
      <w:r w:rsidR="006D4617" w:rsidRPr="00902018">
        <w:rPr>
          <w:rFonts w:ascii="Arial" w:hAnsi="Arial" w:cs="Arial"/>
          <w:sz w:val="22"/>
          <w:szCs w:val="22"/>
        </w:rPr>
        <w:t>mayo</w:t>
      </w:r>
      <w:r w:rsidRPr="00902018">
        <w:rPr>
          <w:rFonts w:ascii="Arial" w:hAnsi="Arial" w:cs="Arial"/>
          <w:sz w:val="22"/>
          <w:szCs w:val="22"/>
        </w:rPr>
        <w:t xml:space="preserve"> al 3</w:t>
      </w:r>
      <w:r w:rsidR="00DC4D56" w:rsidRPr="00902018">
        <w:rPr>
          <w:rFonts w:ascii="Arial" w:hAnsi="Arial" w:cs="Arial"/>
          <w:sz w:val="22"/>
          <w:szCs w:val="22"/>
        </w:rPr>
        <w:t>1</w:t>
      </w:r>
      <w:r w:rsidRPr="00902018">
        <w:rPr>
          <w:rFonts w:ascii="Arial" w:hAnsi="Arial" w:cs="Arial"/>
          <w:sz w:val="22"/>
          <w:szCs w:val="22"/>
        </w:rPr>
        <w:t xml:space="preserve"> de </w:t>
      </w:r>
      <w:r w:rsidR="00DC4D56" w:rsidRPr="00902018">
        <w:rPr>
          <w:rFonts w:ascii="Arial" w:hAnsi="Arial" w:cs="Arial"/>
          <w:sz w:val="22"/>
          <w:szCs w:val="22"/>
        </w:rPr>
        <w:t xml:space="preserve">octubre </w:t>
      </w:r>
      <w:r w:rsidRPr="00902018">
        <w:rPr>
          <w:rFonts w:ascii="Arial" w:hAnsi="Arial" w:cs="Arial"/>
          <w:sz w:val="22"/>
          <w:szCs w:val="22"/>
        </w:rPr>
        <w:t>de 202</w:t>
      </w:r>
      <w:r w:rsidR="006D4617" w:rsidRPr="00902018">
        <w:rPr>
          <w:rFonts w:ascii="Arial" w:hAnsi="Arial" w:cs="Arial"/>
          <w:sz w:val="22"/>
          <w:szCs w:val="22"/>
        </w:rPr>
        <w:t>5</w:t>
      </w:r>
      <w:r w:rsidRPr="00902018">
        <w:rPr>
          <w:rFonts w:ascii="Arial" w:hAnsi="Arial" w:cs="Arial"/>
          <w:sz w:val="22"/>
          <w:szCs w:val="22"/>
        </w:rPr>
        <w:t>. No obstante, ésta podrá concluir cuando concurra cualquiera de los supuestos establecidos en el artículo 25 de los Lineamientos, es decir, I). Cuando la plaza deba ser ocupada por alguna de las vías previstas en el artículo 390 del Estatuto, II). Cuando así lo requieran las necesidades del servicio, y, III). Por determinación de autoridad competente del organismo público local electoral.</w:t>
      </w:r>
    </w:p>
    <w:p w14:paraId="6828FB22" w14:textId="2B164E5F" w:rsidR="003D1076" w:rsidRDefault="003D1076" w:rsidP="00735326">
      <w:pPr>
        <w:rPr>
          <w:rFonts w:ascii="Arial" w:hAnsi="Arial" w:cs="Arial"/>
          <w:sz w:val="22"/>
          <w:szCs w:val="22"/>
        </w:rPr>
      </w:pPr>
      <w:r w:rsidRPr="00902018">
        <w:rPr>
          <w:rFonts w:ascii="Arial" w:hAnsi="Arial" w:cs="Arial"/>
          <w:sz w:val="22"/>
          <w:szCs w:val="22"/>
        </w:rPr>
        <w:t>Sobre la base de las consideraciones señaladas, esta Junta Estatal emite el siguiente:</w:t>
      </w:r>
    </w:p>
    <w:p w14:paraId="453E3553" w14:textId="2BC603EC" w:rsidR="003D1076" w:rsidRDefault="00615740" w:rsidP="00735326">
      <w:pPr>
        <w:pStyle w:val="Ttulo1"/>
        <w:spacing w:before="360" w:after="360"/>
        <w:rPr>
          <w:rFonts w:ascii="Arial" w:hAnsi="Arial" w:cs="Arial"/>
          <w:sz w:val="24"/>
          <w:szCs w:val="24"/>
        </w:rPr>
      </w:pPr>
      <w:r>
        <w:rPr>
          <w:rFonts w:ascii="Arial" w:hAnsi="Arial" w:cs="Arial"/>
          <w:sz w:val="24"/>
          <w:szCs w:val="24"/>
        </w:rPr>
        <w:t xml:space="preserve">3 </w:t>
      </w:r>
      <w:r w:rsidR="003D1076" w:rsidRPr="00615740">
        <w:rPr>
          <w:rFonts w:ascii="Arial" w:hAnsi="Arial" w:cs="Arial"/>
          <w:sz w:val="24"/>
          <w:szCs w:val="24"/>
        </w:rPr>
        <w:t>Acuerdo</w:t>
      </w:r>
    </w:p>
    <w:p w14:paraId="7E907F26" w14:textId="5625B1B9" w:rsidR="003D1076" w:rsidRPr="00902018" w:rsidRDefault="003D1076" w:rsidP="009637DA">
      <w:pPr>
        <w:rPr>
          <w:rFonts w:ascii="Arial" w:hAnsi="Arial" w:cs="Arial"/>
          <w:b/>
          <w:bCs/>
          <w:sz w:val="22"/>
          <w:szCs w:val="22"/>
        </w:rPr>
      </w:pPr>
      <w:r w:rsidRPr="00902018">
        <w:rPr>
          <w:rFonts w:ascii="Arial" w:hAnsi="Arial" w:cs="Arial"/>
          <w:b/>
          <w:bCs/>
          <w:sz w:val="22"/>
          <w:szCs w:val="22"/>
        </w:rPr>
        <w:t>Primero.</w:t>
      </w:r>
      <w:r w:rsidRPr="00902018">
        <w:rPr>
          <w:rFonts w:ascii="Arial" w:hAnsi="Arial" w:cs="Arial"/>
          <w:sz w:val="22"/>
          <w:szCs w:val="22"/>
        </w:rPr>
        <w:t xml:space="preserve"> Se aprueba la renovación de </w:t>
      </w:r>
      <w:r w:rsidR="00DC4D56" w:rsidRPr="00902018">
        <w:rPr>
          <w:rFonts w:ascii="Arial" w:hAnsi="Arial" w:cs="Arial"/>
          <w:sz w:val="22"/>
          <w:szCs w:val="22"/>
        </w:rPr>
        <w:t xml:space="preserve">Alejandro Haddad Castillo </w:t>
      </w:r>
      <w:r w:rsidRPr="00902018">
        <w:rPr>
          <w:rFonts w:ascii="Arial" w:hAnsi="Arial" w:cs="Arial"/>
          <w:sz w:val="22"/>
          <w:szCs w:val="22"/>
        </w:rPr>
        <w:t>como encargad</w:t>
      </w:r>
      <w:r w:rsidR="00DC4D56" w:rsidRPr="00902018">
        <w:rPr>
          <w:rFonts w:ascii="Arial" w:hAnsi="Arial" w:cs="Arial"/>
          <w:sz w:val="22"/>
          <w:szCs w:val="22"/>
        </w:rPr>
        <w:t>o</w:t>
      </w:r>
      <w:r w:rsidRPr="00902018">
        <w:rPr>
          <w:rFonts w:ascii="Arial" w:hAnsi="Arial" w:cs="Arial"/>
          <w:sz w:val="22"/>
          <w:szCs w:val="22"/>
        </w:rPr>
        <w:t xml:space="preserve"> de despacho del cargo de </w:t>
      </w:r>
      <w:r w:rsidR="00DC4D56" w:rsidRPr="00902018">
        <w:rPr>
          <w:rFonts w:ascii="Arial" w:hAnsi="Arial" w:cs="Arial"/>
          <w:sz w:val="22"/>
          <w:szCs w:val="22"/>
        </w:rPr>
        <w:t>Asistente Técnico adscrito a la Coordinación de Prerrogativas y Partidos Políticos de la Dirección de Organización Electoral y Educación Cívica de este Instituto, incorporado al Servicio Profesional Electoral Nacional de este Instituto</w:t>
      </w:r>
      <w:r w:rsidRPr="00902018">
        <w:rPr>
          <w:rFonts w:ascii="Arial" w:hAnsi="Arial" w:cs="Arial"/>
          <w:sz w:val="22"/>
          <w:szCs w:val="22"/>
        </w:rPr>
        <w:t xml:space="preserve"> con una vigencia del </w:t>
      </w:r>
      <w:r w:rsidRPr="00902018">
        <w:rPr>
          <w:rFonts w:ascii="Arial" w:hAnsi="Arial" w:cs="Arial"/>
          <w:b/>
          <w:bCs/>
          <w:sz w:val="22"/>
          <w:szCs w:val="22"/>
        </w:rPr>
        <w:t xml:space="preserve">1 de </w:t>
      </w:r>
      <w:r w:rsidR="00DC4D56" w:rsidRPr="00902018">
        <w:rPr>
          <w:rFonts w:ascii="Arial" w:hAnsi="Arial" w:cs="Arial"/>
          <w:b/>
          <w:bCs/>
          <w:sz w:val="22"/>
          <w:szCs w:val="22"/>
        </w:rPr>
        <w:t xml:space="preserve">mayo </w:t>
      </w:r>
      <w:r w:rsidRPr="00902018">
        <w:rPr>
          <w:rFonts w:ascii="Arial" w:hAnsi="Arial" w:cs="Arial"/>
          <w:b/>
          <w:bCs/>
          <w:sz w:val="22"/>
          <w:szCs w:val="22"/>
        </w:rPr>
        <w:t xml:space="preserve">al 31 de </w:t>
      </w:r>
      <w:r w:rsidR="00DC4D56" w:rsidRPr="00902018">
        <w:rPr>
          <w:rFonts w:ascii="Arial" w:hAnsi="Arial" w:cs="Arial"/>
          <w:b/>
          <w:bCs/>
          <w:sz w:val="22"/>
          <w:szCs w:val="22"/>
        </w:rPr>
        <w:t xml:space="preserve">octubre </w:t>
      </w:r>
      <w:r w:rsidRPr="00902018">
        <w:rPr>
          <w:rFonts w:ascii="Arial" w:hAnsi="Arial" w:cs="Arial"/>
          <w:b/>
          <w:bCs/>
          <w:sz w:val="22"/>
          <w:szCs w:val="22"/>
        </w:rPr>
        <w:t>de 202</w:t>
      </w:r>
      <w:r w:rsidR="00DC4D56" w:rsidRPr="00902018">
        <w:rPr>
          <w:rFonts w:ascii="Arial" w:hAnsi="Arial" w:cs="Arial"/>
          <w:b/>
          <w:bCs/>
          <w:sz w:val="22"/>
          <w:szCs w:val="22"/>
        </w:rPr>
        <w:t>5</w:t>
      </w:r>
      <w:r w:rsidRPr="00902018">
        <w:rPr>
          <w:rFonts w:ascii="Arial" w:hAnsi="Arial" w:cs="Arial"/>
          <w:b/>
          <w:bCs/>
          <w:sz w:val="22"/>
          <w:szCs w:val="22"/>
        </w:rPr>
        <w:t>.</w:t>
      </w:r>
    </w:p>
    <w:p w14:paraId="086AD862" w14:textId="77777777" w:rsidR="003D1076" w:rsidRPr="00902018" w:rsidRDefault="003D1076" w:rsidP="003D1076">
      <w:pPr>
        <w:rPr>
          <w:rFonts w:ascii="Arial" w:hAnsi="Arial" w:cs="Arial"/>
          <w:sz w:val="22"/>
          <w:szCs w:val="22"/>
        </w:rPr>
      </w:pPr>
      <w:r w:rsidRPr="00902018">
        <w:rPr>
          <w:rFonts w:ascii="Arial" w:hAnsi="Arial" w:cs="Arial"/>
          <w:sz w:val="22"/>
          <w:szCs w:val="22"/>
        </w:rPr>
        <w:t>No obstante, la vigencia podrá concluir cuando concurra cualquiera de los supuestos establecidos en el artículo 25 de los Lineamientos, es decir, I). Cuando la plaza deba ser ocupada por alguna de las vías previstas en el artículo 390 del Estatuto, II). Cuando así lo requieran las necesidades del servicio, y, III). Por determinación de autoridad competente del organismo público local electoral.</w:t>
      </w:r>
    </w:p>
    <w:p w14:paraId="05FBD995" w14:textId="6FF52C18" w:rsidR="003D1076" w:rsidRPr="00902018" w:rsidRDefault="003D1076" w:rsidP="003D1076">
      <w:pPr>
        <w:rPr>
          <w:rFonts w:ascii="Arial" w:hAnsi="Arial" w:cs="Arial"/>
          <w:sz w:val="22"/>
          <w:szCs w:val="22"/>
        </w:rPr>
      </w:pPr>
      <w:r w:rsidRPr="00902018">
        <w:rPr>
          <w:rFonts w:ascii="Arial" w:hAnsi="Arial" w:cs="Arial"/>
          <w:b/>
          <w:bCs/>
          <w:sz w:val="22"/>
          <w:szCs w:val="22"/>
        </w:rPr>
        <w:t>Segundo.</w:t>
      </w:r>
      <w:r w:rsidRPr="00902018">
        <w:rPr>
          <w:rFonts w:ascii="Arial" w:hAnsi="Arial" w:cs="Arial"/>
          <w:sz w:val="22"/>
          <w:szCs w:val="22"/>
        </w:rPr>
        <w:t xml:space="preserve"> En términos del artículo 19 de los Lineamientos, las personas designadas como encargadas de despacho: I). Serán responsables del ejercicio de su encargo, conforme a las atribuciones conferidas al cargo o puesto al que son designadas; y, II). Deberán presentar y remitir un informe de actividades al concluir su encargo, al Órgano de Enlace, en un plazo no mayor a cinco días hábiles, quien deberá concentrar dicha información.</w:t>
      </w:r>
    </w:p>
    <w:p w14:paraId="29D6E287" w14:textId="2E408D11" w:rsidR="003D1076" w:rsidRPr="00902018" w:rsidRDefault="003D1076" w:rsidP="003D1076">
      <w:pPr>
        <w:rPr>
          <w:rFonts w:ascii="Arial" w:hAnsi="Arial" w:cs="Arial"/>
          <w:sz w:val="22"/>
          <w:szCs w:val="22"/>
        </w:rPr>
      </w:pPr>
      <w:r w:rsidRPr="00902018">
        <w:rPr>
          <w:rFonts w:ascii="Arial" w:hAnsi="Arial" w:cs="Arial"/>
          <w:b/>
          <w:bCs/>
          <w:sz w:val="22"/>
          <w:szCs w:val="22"/>
        </w:rPr>
        <w:t>Tercero.</w:t>
      </w:r>
      <w:r w:rsidRPr="00902018">
        <w:rPr>
          <w:rFonts w:ascii="Arial" w:hAnsi="Arial" w:cs="Arial"/>
          <w:sz w:val="22"/>
          <w:szCs w:val="22"/>
        </w:rPr>
        <w:t xml:space="preserve"> Se instruye al Órgano de Enlace informe la presente renovación a la Dirección Ejecutiva del Servicio Profesional Electoral Nacional. Asimismo, se instruye a la Secretaría Ejecutiva notifique por oficio la renovación del encargo de despacho.</w:t>
      </w:r>
    </w:p>
    <w:p w14:paraId="5C9A4E0B" w14:textId="08101101" w:rsidR="003D1076" w:rsidRPr="00902018" w:rsidRDefault="003D1076" w:rsidP="003D1076">
      <w:pPr>
        <w:rPr>
          <w:rFonts w:ascii="Arial" w:hAnsi="Arial" w:cs="Arial"/>
          <w:sz w:val="22"/>
          <w:szCs w:val="22"/>
        </w:rPr>
      </w:pPr>
      <w:r w:rsidRPr="00902018">
        <w:rPr>
          <w:rFonts w:ascii="Arial" w:hAnsi="Arial" w:cs="Arial"/>
          <w:b/>
          <w:bCs/>
          <w:sz w:val="22"/>
          <w:szCs w:val="22"/>
        </w:rPr>
        <w:t>Cuarto.</w:t>
      </w:r>
      <w:r w:rsidRPr="00902018">
        <w:rPr>
          <w:rFonts w:ascii="Arial" w:hAnsi="Arial" w:cs="Arial"/>
          <w:sz w:val="22"/>
          <w:szCs w:val="22"/>
        </w:rPr>
        <w:t xml:space="preserve">  Se instruye a la Dirección de Administración realice los trámites administrativos para dar cumplimiento al presente acuerdo.</w:t>
      </w:r>
    </w:p>
    <w:p w14:paraId="6E29F2EC" w14:textId="10882845" w:rsidR="003D1076" w:rsidRPr="00902018" w:rsidRDefault="003D1076" w:rsidP="003D1076">
      <w:pPr>
        <w:rPr>
          <w:rFonts w:ascii="Arial" w:hAnsi="Arial" w:cs="Arial"/>
          <w:sz w:val="22"/>
          <w:szCs w:val="22"/>
        </w:rPr>
      </w:pPr>
      <w:r w:rsidRPr="00902018">
        <w:rPr>
          <w:rFonts w:ascii="Arial" w:hAnsi="Arial" w:cs="Arial"/>
          <w:sz w:val="22"/>
          <w:szCs w:val="22"/>
        </w:rPr>
        <w:t xml:space="preserve">El presente acuerdo se aprobó en sesión </w:t>
      </w:r>
      <w:r w:rsidR="00902018">
        <w:rPr>
          <w:rFonts w:ascii="Arial" w:hAnsi="Arial" w:cs="Arial"/>
          <w:sz w:val="22"/>
          <w:szCs w:val="22"/>
        </w:rPr>
        <w:t>ordinaria</w:t>
      </w:r>
      <w:r w:rsidRPr="00902018">
        <w:rPr>
          <w:rFonts w:ascii="Arial" w:hAnsi="Arial" w:cs="Arial"/>
          <w:sz w:val="22"/>
          <w:szCs w:val="22"/>
        </w:rPr>
        <w:t xml:space="preserve"> efectuada el </w:t>
      </w:r>
      <w:r w:rsidR="00902018">
        <w:rPr>
          <w:rFonts w:ascii="Arial" w:hAnsi="Arial" w:cs="Arial"/>
          <w:sz w:val="22"/>
          <w:szCs w:val="22"/>
        </w:rPr>
        <w:t>día treinta</w:t>
      </w:r>
      <w:r w:rsidRPr="00902018">
        <w:rPr>
          <w:rFonts w:ascii="Arial" w:hAnsi="Arial" w:cs="Arial"/>
          <w:sz w:val="22"/>
          <w:szCs w:val="22"/>
        </w:rPr>
        <w:t xml:space="preserve"> de </w:t>
      </w:r>
      <w:r w:rsidR="00902018">
        <w:rPr>
          <w:rFonts w:ascii="Arial" w:hAnsi="Arial" w:cs="Arial"/>
          <w:sz w:val="22"/>
          <w:szCs w:val="22"/>
        </w:rPr>
        <w:t>abril</w:t>
      </w:r>
      <w:r w:rsidRPr="00902018">
        <w:rPr>
          <w:rFonts w:ascii="Arial" w:hAnsi="Arial" w:cs="Arial"/>
          <w:sz w:val="22"/>
          <w:szCs w:val="22"/>
        </w:rPr>
        <w:t xml:space="preserve"> del año dos mil veinticinco, por votación </w:t>
      </w:r>
      <w:r w:rsidR="00902018">
        <w:rPr>
          <w:rFonts w:ascii="Arial" w:hAnsi="Arial" w:cs="Arial"/>
          <w:sz w:val="22"/>
          <w:szCs w:val="22"/>
        </w:rPr>
        <w:t>unánime</w:t>
      </w:r>
      <w:r w:rsidRPr="00902018">
        <w:rPr>
          <w:rFonts w:ascii="Arial" w:hAnsi="Arial" w:cs="Arial"/>
          <w:sz w:val="22"/>
          <w:szCs w:val="22"/>
        </w:rPr>
        <w:t xml:space="preserve"> 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w:t>
      </w:r>
      <w:bookmarkStart w:id="0" w:name="_GoBack"/>
      <w:bookmarkEnd w:id="0"/>
      <w:r w:rsidRPr="00902018">
        <w:rPr>
          <w:rFonts w:ascii="Arial" w:hAnsi="Arial" w:cs="Arial"/>
          <w:sz w:val="22"/>
          <w:szCs w:val="22"/>
        </w:rPr>
        <w:t>va.</w:t>
      </w:r>
    </w:p>
    <w:p w14:paraId="2BF34D7D" w14:textId="2CD7A71F" w:rsidR="003D1076" w:rsidRDefault="003D1076" w:rsidP="009637DA">
      <w:pPr>
        <w:spacing w:before="0" w:after="0" w:line="240" w:lineRule="auto"/>
        <w:rPr>
          <w:rFonts w:ascii="Arial" w:hAnsi="Arial" w:cs="Arial"/>
          <w:sz w:val="22"/>
          <w:szCs w:val="22"/>
        </w:rPr>
      </w:pPr>
    </w:p>
    <w:p w14:paraId="683310B3" w14:textId="77777777" w:rsidR="00902018" w:rsidRPr="00902018" w:rsidRDefault="00902018" w:rsidP="009637DA">
      <w:pPr>
        <w:spacing w:before="0" w:after="0" w:line="240" w:lineRule="auto"/>
        <w:rPr>
          <w:rFonts w:ascii="Arial" w:hAnsi="Arial" w:cs="Arial"/>
          <w:sz w:val="22"/>
          <w:szCs w:val="22"/>
        </w:rPr>
      </w:pPr>
    </w:p>
    <w:tbl>
      <w:tblPr>
        <w:tblStyle w:val="Tablaconcuadrcula"/>
        <w:tblW w:w="94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286"/>
        <w:gridCol w:w="4661"/>
      </w:tblGrid>
      <w:tr w:rsidR="00615740" w:rsidRPr="00902018" w14:paraId="6B8F928C" w14:textId="77777777" w:rsidTr="00B43B1F">
        <w:trPr>
          <w:trHeight w:val="695"/>
        </w:trPr>
        <w:tc>
          <w:tcPr>
            <w:tcW w:w="4530" w:type="dxa"/>
          </w:tcPr>
          <w:p w14:paraId="2FF07B98" w14:textId="77777777" w:rsidR="003D1076" w:rsidRPr="00902018" w:rsidRDefault="003D1076" w:rsidP="008F01AE">
            <w:pPr>
              <w:widowControl w:val="0"/>
              <w:spacing w:before="0" w:after="0"/>
              <w:jc w:val="center"/>
              <w:rPr>
                <w:rFonts w:ascii="Arial" w:hAnsi="Arial" w:cs="Arial"/>
                <w:b/>
                <w:spacing w:val="-10"/>
              </w:rPr>
            </w:pPr>
            <w:r w:rsidRPr="00902018">
              <w:rPr>
                <w:rFonts w:ascii="Arial" w:hAnsi="Arial" w:cs="Arial"/>
                <w:b/>
                <w:spacing w:val="-10"/>
              </w:rPr>
              <w:t>MTRA. ELIZABETH NAVA GUTIÉRREZ</w:t>
            </w:r>
          </w:p>
          <w:p w14:paraId="37C23F20" w14:textId="77777777" w:rsidR="003D1076" w:rsidRPr="00902018" w:rsidRDefault="003D1076" w:rsidP="008F01AE">
            <w:pPr>
              <w:widowControl w:val="0"/>
              <w:spacing w:before="0" w:after="0"/>
              <w:jc w:val="center"/>
              <w:rPr>
                <w:rFonts w:ascii="Arial" w:hAnsi="Arial" w:cs="Arial"/>
                <w:b/>
              </w:rPr>
            </w:pPr>
            <w:r w:rsidRPr="00902018">
              <w:rPr>
                <w:rFonts w:ascii="Arial" w:hAnsi="Arial" w:cs="Arial"/>
                <w:b/>
                <w:spacing w:val="-10"/>
              </w:rPr>
              <w:t>CONSEJERA PRESIDENTA</w:t>
            </w:r>
          </w:p>
        </w:tc>
        <w:tc>
          <w:tcPr>
            <w:tcW w:w="286" w:type="dxa"/>
          </w:tcPr>
          <w:p w14:paraId="31FC7E5A" w14:textId="77777777" w:rsidR="003D1076" w:rsidRPr="00902018" w:rsidRDefault="003D1076" w:rsidP="008F01AE">
            <w:pPr>
              <w:widowControl w:val="0"/>
              <w:spacing w:before="0" w:after="0"/>
              <w:jc w:val="center"/>
              <w:rPr>
                <w:rFonts w:ascii="Arial" w:hAnsi="Arial" w:cs="Arial"/>
                <w:b/>
              </w:rPr>
            </w:pPr>
          </w:p>
        </w:tc>
        <w:tc>
          <w:tcPr>
            <w:tcW w:w="4661" w:type="dxa"/>
          </w:tcPr>
          <w:p w14:paraId="3E88005D" w14:textId="77777777" w:rsidR="003D1076" w:rsidRPr="00902018" w:rsidRDefault="003D1076" w:rsidP="008F01AE">
            <w:pPr>
              <w:widowControl w:val="0"/>
              <w:spacing w:before="0" w:after="0"/>
              <w:jc w:val="center"/>
              <w:rPr>
                <w:rFonts w:ascii="Arial" w:hAnsi="Arial" w:cs="Arial"/>
                <w:b/>
                <w:spacing w:val="-10"/>
              </w:rPr>
            </w:pPr>
            <w:r w:rsidRPr="00902018">
              <w:rPr>
                <w:rFonts w:ascii="Arial" w:hAnsi="Arial" w:cs="Arial"/>
                <w:b/>
                <w:spacing w:val="-10"/>
              </w:rPr>
              <w:t>LIC. JORGE ALBERTO ZAVALA FRÍAS</w:t>
            </w:r>
          </w:p>
          <w:p w14:paraId="0282B612" w14:textId="77777777" w:rsidR="003D1076" w:rsidRPr="00902018" w:rsidRDefault="003D1076" w:rsidP="008F01AE">
            <w:pPr>
              <w:widowControl w:val="0"/>
              <w:spacing w:before="0" w:after="0"/>
              <w:jc w:val="center"/>
              <w:rPr>
                <w:rFonts w:ascii="Arial" w:hAnsi="Arial" w:cs="Arial"/>
                <w:b/>
              </w:rPr>
            </w:pPr>
            <w:r w:rsidRPr="00902018">
              <w:rPr>
                <w:rFonts w:ascii="Arial" w:hAnsi="Arial" w:cs="Arial"/>
                <w:b/>
                <w:spacing w:val="-10"/>
              </w:rPr>
              <w:t>SECRETARIO EJECUTIVO</w:t>
            </w:r>
          </w:p>
        </w:tc>
      </w:tr>
    </w:tbl>
    <w:p w14:paraId="36272410" w14:textId="77777777" w:rsidR="003D1076" w:rsidRPr="009637DA" w:rsidRDefault="003D1076" w:rsidP="009637DA">
      <w:pPr>
        <w:spacing w:before="0" w:after="0" w:line="240" w:lineRule="auto"/>
        <w:rPr>
          <w:rFonts w:ascii="Arial" w:hAnsi="Arial" w:cs="Arial"/>
          <w:sz w:val="8"/>
          <w:szCs w:val="22"/>
        </w:rPr>
      </w:pPr>
    </w:p>
    <w:sectPr w:rsidR="003D1076" w:rsidRPr="009637DA" w:rsidSect="00EF6DAA">
      <w:headerReference w:type="default" r:id="rId7"/>
      <w:footerReference w:type="default" r:id="rId8"/>
      <w:pgSz w:w="12240" w:h="15840" w:code="1"/>
      <w:pgMar w:top="2835"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C6F3" w14:textId="77777777" w:rsidR="004115D8" w:rsidRDefault="004115D8" w:rsidP="003D1076">
      <w:pPr>
        <w:spacing w:before="0" w:after="0" w:line="240" w:lineRule="auto"/>
      </w:pPr>
      <w:r>
        <w:separator/>
      </w:r>
    </w:p>
  </w:endnote>
  <w:endnote w:type="continuationSeparator" w:id="0">
    <w:p w14:paraId="416F1926" w14:textId="77777777" w:rsidR="004115D8" w:rsidRDefault="004115D8" w:rsidP="003D10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165213229"/>
      <w:docPartObj>
        <w:docPartGallery w:val="Page Numbers (Bottom of Page)"/>
        <w:docPartUnique/>
      </w:docPartObj>
    </w:sdtPr>
    <w:sdtEndPr>
      <w:rPr>
        <w:szCs w:val="20"/>
      </w:rPr>
    </w:sdtEndPr>
    <w:sdtContent>
      <w:p w14:paraId="7DFAEC0B" w14:textId="1BE179A4" w:rsidR="003D1076" w:rsidRPr="00195FCC" w:rsidRDefault="003D1076" w:rsidP="003D1076">
        <w:pPr>
          <w:pStyle w:val="Piedepgina"/>
          <w:jc w:val="right"/>
          <w:rPr>
            <w:rFonts w:ascii="Arial" w:hAnsi="Arial" w:cs="Arial"/>
            <w:b/>
            <w:bCs/>
            <w:color w:val="660033"/>
            <w:szCs w:val="20"/>
            <w:lang w:val="es-ES"/>
          </w:rPr>
        </w:pPr>
        <w:r w:rsidRPr="00195FCC">
          <w:rPr>
            <w:rFonts w:ascii="Arial" w:hAnsi="Arial" w:cs="Arial"/>
            <w:b/>
            <w:bCs/>
            <w:color w:val="660033"/>
            <w:szCs w:val="20"/>
            <w:lang w:val="es-ES"/>
          </w:rPr>
          <w:t xml:space="preserve">Página  </w:t>
        </w:r>
        <w:r w:rsidRPr="00195FCC">
          <w:rPr>
            <w:rFonts w:ascii="Arial" w:hAnsi="Arial" w:cs="Arial"/>
            <w:b/>
            <w:bCs/>
            <w:color w:val="660033"/>
            <w:szCs w:val="20"/>
          </w:rPr>
          <w:fldChar w:fldCharType="begin"/>
        </w:r>
        <w:r w:rsidRPr="00195FCC">
          <w:rPr>
            <w:rFonts w:ascii="Arial" w:hAnsi="Arial" w:cs="Arial"/>
            <w:b/>
            <w:bCs/>
            <w:color w:val="660033"/>
            <w:szCs w:val="20"/>
          </w:rPr>
          <w:instrText>PAGE   \* MERGEFORMAT</w:instrText>
        </w:r>
        <w:r w:rsidRPr="00195FCC">
          <w:rPr>
            <w:rFonts w:ascii="Arial" w:hAnsi="Arial" w:cs="Arial"/>
            <w:b/>
            <w:bCs/>
            <w:color w:val="660033"/>
            <w:szCs w:val="20"/>
          </w:rPr>
          <w:fldChar w:fldCharType="separate"/>
        </w:r>
        <w:r w:rsidR="00106F31">
          <w:rPr>
            <w:rFonts w:ascii="Arial" w:hAnsi="Arial" w:cs="Arial"/>
            <w:b/>
            <w:bCs/>
            <w:noProof/>
            <w:color w:val="660033"/>
            <w:szCs w:val="20"/>
          </w:rPr>
          <w:t>8</w:t>
        </w:r>
        <w:r w:rsidRPr="00195FCC">
          <w:rPr>
            <w:rFonts w:ascii="Arial" w:hAnsi="Arial" w:cs="Arial"/>
            <w:b/>
            <w:bCs/>
            <w:color w:val="660033"/>
            <w:szCs w:val="20"/>
          </w:rPr>
          <w:fldChar w:fldCharType="end"/>
        </w:r>
        <w:r w:rsidRPr="00195FCC">
          <w:rPr>
            <w:rFonts w:ascii="Arial" w:hAnsi="Arial" w:cs="Arial"/>
            <w:b/>
            <w:bCs/>
            <w:color w:val="660033"/>
            <w:szCs w:val="20"/>
            <w:lang w:val="es-ES"/>
          </w:rPr>
          <w:t xml:space="preserve"> | </w:t>
        </w:r>
        <w:r w:rsidRPr="00195FCC">
          <w:rPr>
            <w:rFonts w:ascii="Arial" w:hAnsi="Arial" w:cs="Arial"/>
            <w:b/>
            <w:bCs/>
            <w:color w:val="660033"/>
            <w:szCs w:val="20"/>
            <w:lang w:val="es-ES"/>
          </w:rPr>
          <w:fldChar w:fldCharType="begin"/>
        </w:r>
        <w:r w:rsidRPr="00195FCC">
          <w:rPr>
            <w:rFonts w:ascii="Arial" w:hAnsi="Arial" w:cs="Arial"/>
            <w:b/>
            <w:bCs/>
            <w:color w:val="660033"/>
            <w:szCs w:val="20"/>
            <w:lang w:val="es-ES"/>
          </w:rPr>
          <w:instrText xml:space="preserve"> NUMPAGES   \* MERGEFORMAT </w:instrText>
        </w:r>
        <w:r w:rsidRPr="00195FCC">
          <w:rPr>
            <w:rFonts w:ascii="Arial" w:hAnsi="Arial" w:cs="Arial"/>
            <w:b/>
            <w:bCs/>
            <w:color w:val="660033"/>
            <w:szCs w:val="20"/>
            <w:lang w:val="es-ES"/>
          </w:rPr>
          <w:fldChar w:fldCharType="separate"/>
        </w:r>
        <w:r w:rsidR="00106F31">
          <w:rPr>
            <w:rFonts w:ascii="Arial" w:hAnsi="Arial" w:cs="Arial"/>
            <w:b/>
            <w:bCs/>
            <w:noProof/>
            <w:color w:val="660033"/>
            <w:szCs w:val="20"/>
            <w:lang w:val="es-ES"/>
          </w:rPr>
          <w:t>9</w:t>
        </w:r>
        <w:r w:rsidRPr="00195FCC">
          <w:rPr>
            <w:rFonts w:ascii="Arial" w:hAnsi="Arial" w:cs="Arial"/>
            <w:b/>
            <w:bCs/>
            <w:color w:val="660033"/>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6873" w14:textId="77777777" w:rsidR="004115D8" w:rsidRDefault="004115D8" w:rsidP="003D1076">
      <w:pPr>
        <w:spacing w:before="0" w:after="0" w:line="240" w:lineRule="auto"/>
      </w:pPr>
      <w:r>
        <w:separator/>
      </w:r>
    </w:p>
  </w:footnote>
  <w:footnote w:type="continuationSeparator" w:id="0">
    <w:p w14:paraId="7289C0B6" w14:textId="77777777" w:rsidR="004115D8" w:rsidRDefault="004115D8" w:rsidP="003D10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3D1076" w:rsidRPr="005E43CB" w14:paraId="0CC60EBD" w14:textId="77777777" w:rsidTr="008F01AE">
      <w:tc>
        <w:tcPr>
          <w:tcW w:w="1418" w:type="dxa"/>
        </w:tcPr>
        <w:p w14:paraId="7C918D65" w14:textId="77777777" w:rsidR="003D1076" w:rsidRPr="005E43CB" w:rsidRDefault="003D1076" w:rsidP="003D1076">
          <w:pPr>
            <w:pStyle w:val="Encabezado"/>
            <w:ind w:left="-170"/>
            <w:jc w:val="left"/>
          </w:pPr>
          <w:r w:rsidRPr="005E43CB">
            <w:rPr>
              <w:b/>
              <w:noProof/>
              <w:sz w:val="32"/>
              <w:lang w:eastAsia="es-MX"/>
            </w:rPr>
            <w:drawing>
              <wp:inline distT="0" distB="0" distL="0" distR="0" wp14:anchorId="25300D9A" wp14:editId="3F86957A">
                <wp:extent cx="1014331" cy="1199403"/>
                <wp:effectExtent l="0" t="0" r="0" b="1270"/>
                <wp:docPr id="29" name="Imagen 29"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6EA63FC" w14:textId="77777777" w:rsidR="003D1076" w:rsidRPr="00615740" w:rsidRDefault="003D1076" w:rsidP="003D1076">
          <w:pPr>
            <w:pStyle w:val="Encabezado"/>
            <w:spacing w:before="720"/>
            <w:jc w:val="center"/>
            <w:rPr>
              <w:rFonts w:ascii="Arial" w:hAnsi="Arial" w:cs="Arial"/>
              <w:b/>
              <w:bCs/>
              <w:sz w:val="25"/>
              <w:szCs w:val="25"/>
            </w:rPr>
          </w:pPr>
          <w:r w:rsidRPr="00615740">
            <w:rPr>
              <w:rFonts w:ascii="Arial" w:hAnsi="Arial" w:cs="Arial"/>
              <w:b/>
              <w:bCs/>
              <w:sz w:val="25"/>
              <w:szCs w:val="25"/>
            </w:rPr>
            <w:t>INSTITUTO ELECTORAL Y DE PARTICIPACIÓN CIUDADANA DE TABASCO</w:t>
          </w:r>
        </w:p>
        <w:p w14:paraId="190AA3F9" w14:textId="77777777" w:rsidR="003D1076" w:rsidRPr="005E43CB" w:rsidRDefault="003D1076" w:rsidP="003D1076">
          <w:pPr>
            <w:pStyle w:val="Encabezado"/>
            <w:jc w:val="center"/>
            <w:rPr>
              <w:sz w:val="25"/>
              <w:szCs w:val="25"/>
            </w:rPr>
          </w:pPr>
          <w:r w:rsidRPr="00615740">
            <w:rPr>
              <w:rFonts w:ascii="Arial" w:hAnsi="Arial" w:cs="Arial"/>
              <w:sz w:val="25"/>
              <w:szCs w:val="25"/>
            </w:rPr>
            <w:t>JUNTA ESTATAL EJECUTIVA</w:t>
          </w:r>
        </w:p>
      </w:tc>
      <w:tc>
        <w:tcPr>
          <w:tcW w:w="1843" w:type="dxa"/>
        </w:tcPr>
        <w:p w14:paraId="484150D0" w14:textId="77777777" w:rsidR="003D1076" w:rsidRPr="005E43CB" w:rsidRDefault="003D1076" w:rsidP="003D1076">
          <w:pPr>
            <w:pStyle w:val="Encabezado"/>
            <w:spacing w:before="480"/>
          </w:pPr>
          <w:r>
            <w:rPr>
              <w:noProof/>
              <w:lang w:eastAsia="es-MX"/>
            </w:rPr>
            <w:drawing>
              <wp:inline distT="0" distB="0" distL="0" distR="0" wp14:anchorId="29213C91" wp14:editId="7B1D58F2">
                <wp:extent cx="942975" cy="774065"/>
                <wp:effectExtent l="0" t="0" r="9525" b="6985"/>
                <wp:docPr id="30" name="Imagen 30"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71F02E3A" w14:textId="43EC9FAE" w:rsidR="003D1076" w:rsidRPr="00902018" w:rsidRDefault="00902018" w:rsidP="00902018">
    <w:pPr>
      <w:pStyle w:val="Encabezado"/>
      <w:jc w:val="right"/>
      <w:rPr>
        <w:rFonts w:ascii="Arial" w:hAnsi="Arial" w:cs="Arial"/>
        <w:b/>
      </w:rPr>
    </w:pPr>
    <w:r w:rsidRPr="00902018">
      <w:rPr>
        <w:rFonts w:ascii="Arial" w:hAnsi="Arial" w:cs="Arial"/>
        <w:b/>
      </w:rPr>
      <w:t>JEE/2025/014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76"/>
    <w:rsid w:val="00035BEE"/>
    <w:rsid w:val="00106F31"/>
    <w:rsid w:val="00195FCC"/>
    <w:rsid w:val="003725B8"/>
    <w:rsid w:val="003D1076"/>
    <w:rsid w:val="004115D8"/>
    <w:rsid w:val="005042B1"/>
    <w:rsid w:val="00514015"/>
    <w:rsid w:val="0054793A"/>
    <w:rsid w:val="00615740"/>
    <w:rsid w:val="006332CA"/>
    <w:rsid w:val="006D4617"/>
    <w:rsid w:val="00735326"/>
    <w:rsid w:val="00902018"/>
    <w:rsid w:val="009637DA"/>
    <w:rsid w:val="00AB1D92"/>
    <w:rsid w:val="00B43B1F"/>
    <w:rsid w:val="00BA3824"/>
    <w:rsid w:val="00C46E71"/>
    <w:rsid w:val="00DC4D56"/>
    <w:rsid w:val="00EB05D4"/>
    <w:rsid w:val="00EF6DAA"/>
    <w:rsid w:val="00F94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566B"/>
  <w15:chartTrackingRefBased/>
  <w15:docId w15:val="{314B1D9C-3992-4430-BC96-2C9259F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76"/>
    <w:pPr>
      <w:spacing w:before="240" w:after="240" w:line="276" w:lineRule="auto"/>
      <w:jc w:val="both"/>
    </w:pPr>
    <w:rPr>
      <w:rFonts w:ascii="Exo" w:hAnsi="Exo"/>
    </w:rPr>
  </w:style>
  <w:style w:type="paragraph" w:styleId="Ttulo1">
    <w:name w:val="heading 1"/>
    <w:basedOn w:val="Normal"/>
    <w:next w:val="Normal"/>
    <w:link w:val="Ttulo1Car"/>
    <w:uiPriority w:val="9"/>
    <w:qFormat/>
    <w:rsid w:val="003D1076"/>
    <w:pPr>
      <w:keepNext/>
      <w:keepLines/>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B05D4"/>
    <w:pPr>
      <w:keepNext/>
      <w:keepLines/>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3D10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10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10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10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10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10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107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076"/>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EB05D4"/>
    <w:rPr>
      <w:rFonts w:ascii="Exo" w:eastAsiaTheme="majorEastAsia" w:hAnsi="Exo" w:cstheme="majorBidi"/>
      <w:b/>
      <w:bCs/>
    </w:rPr>
  </w:style>
  <w:style w:type="character" w:customStyle="1" w:styleId="Ttulo3Car">
    <w:name w:val="Título 3 Car"/>
    <w:basedOn w:val="Fuentedeprrafopredeter"/>
    <w:link w:val="Ttulo3"/>
    <w:uiPriority w:val="9"/>
    <w:semiHidden/>
    <w:rsid w:val="003D10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0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0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0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0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0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076"/>
    <w:rPr>
      <w:rFonts w:eastAsiaTheme="majorEastAsia" w:cstheme="majorBidi"/>
      <w:color w:val="272727" w:themeColor="text1" w:themeTint="D8"/>
    </w:rPr>
  </w:style>
  <w:style w:type="paragraph" w:styleId="Ttulo">
    <w:name w:val="Title"/>
    <w:basedOn w:val="Normal"/>
    <w:next w:val="Normal"/>
    <w:link w:val="TtuloCar"/>
    <w:uiPriority w:val="10"/>
    <w:qFormat/>
    <w:rsid w:val="003D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10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0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10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076"/>
    <w:pPr>
      <w:spacing w:before="160"/>
      <w:jc w:val="center"/>
    </w:pPr>
    <w:rPr>
      <w:i/>
      <w:iCs/>
      <w:color w:val="404040" w:themeColor="text1" w:themeTint="BF"/>
    </w:rPr>
  </w:style>
  <w:style w:type="character" w:customStyle="1" w:styleId="CitaCar">
    <w:name w:val="Cita Car"/>
    <w:basedOn w:val="Fuentedeprrafopredeter"/>
    <w:link w:val="Cita"/>
    <w:uiPriority w:val="29"/>
    <w:rsid w:val="003D1076"/>
    <w:rPr>
      <w:i/>
      <w:iCs/>
      <w:color w:val="404040" w:themeColor="text1" w:themeTint="BF"/>
    </w:rPr>
  </w:style>
  <w:style w:type="paragraph" w:styleId="Prrafodelista">
    <w:name w:val="List Paragraph"/>
    <w:basedOn w:val="Normal"/>
    <w:uiPriority w:val="34"/>
    <w:qFormat/>
    <w:rsid w:val="003D1076"/>
    <w:pPr>
      <w:ind w:left="720"/>
      <w:contextualSpacing/>
    </w:pPr>
  </w:style>
  <w:style w:type="character" w:styleId="nfasisintenso">
    <w:name w:val="Intense Emphasis"/>
    <w:basedOn w:val="Fuentedeprrafopredeter"/>
    <w:uiPriority w:val="21"/>
    <w:qFormat/>
    <w:rsid w:val="003D1076"/>
    <w:rPr>
      <w:i/>
      <w:iCs/>
      <w:color w:val="0F4761" w:themeColor="accent1" w:themeShade="BF"/>
    </w:rPr>
  </w:style>
  <w:style w:type="paragraph" w:styleId="Citadestacada">
    <w:name w:val="Intense Quote"/>
    <w:basedOn w:val="Normal"/>
    <w:next w:val="Normal"/>
    <w:link w:val="CitadestacadaCar"/>
    <w:uiPriority w:val="30"/>
    <w:qFormat/>
    <w:rsid w:val="003D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1076"/>
    <w:rPr>
      <w:i/>
      <w:iCs/>
      <w:color w:val="0F4761" w:themeColor="accent1" w:themeShade="BF"/>
    </w:rPr>
  </w:style>
  <w:style w:type="character" w:styleId="Referenciaintensa">
    <w:name w:val="Intense Reference"/>
    <w:basedOn w:val="Fuentedeprrafopredeter"/>
    <w:uiPriority w:val="32"/>
    <w:qFormat/>
    <w:rsid w:val="003D1076"/>
    <w:rPr>
      <w:b/>
      <w:bCs/>
      <w:smallCaps/>
      <w:color w:val="0F4761" w:themeColor="accent1" w:themeShade="BF"/>
      <w:spacing w:val="5"/>
    </w:rPr>
  </w:style>
  <w:style w:type="table" w:styleId="Tablaconcuadrcula">
    <w:name w:val="Table Grid"/>
    <w:basedOn w:val="Tablanormal"/>
    <w:uiPriority w:val="39"/>
    <w:rsid w:val="003D10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107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D1076"/>
    <w:rPr>
      <w:rFonts w:ascii="Exo" w:hAnsi="Exo"/>
    </w:rPr>
  </w:style>
  <w:style w:type="paragraph" w:styleId="Piedepgina">
    <w:name w:val="footer"/>
    <w:basedOn w:val="Normal"/>
    <w:link w:val="PiedepginaCar"/>
    <w:uiPriority w:val="99"/>
    <w:unhideWhenUsed/>
    <w:rsid w:val="003D107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D1076"/>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3049</Words>
  <Characters>16774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Coordinacion Tecnica</cp:lastModifiedBy>
  <cp:revision>14</cp:revision>
  <dcterms:created xsi:type="dcterms:W3CDTF">2025-04-25T19:38:00Z</dcterms:created>
  <dcterms:modified xsi:type="dcterms:W3CDTF">2025-05-01T00:12:00Z</dcterms:modified>
</cp:coreProperties>
</file>