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C2827" w14:textId="77777777" w:rsidR="00977DFA" w:rsidRDefault="00977DFA" w:rsidP="00977DFA">
      <w:pPr>
        <w:spacing w:before="0" w:after="0"/>
        <w:rPr>
          <w:rFonts w:ascii="Arial" w:hAnsi="Arial" w:cs="Arial"/>
          <w:b/>
        </w:rPr>
      </w:pPr>
      <w:r w:rsidRPr="004C0D83">
        <w:rPr>
          <w:rFonts w:ascii="Arial" w:hAnsi="Arial" w:cs="Arial"/>
          <w:b/>
        </w:rPr>
        <w:t xml:space="preserve">ACUERDO QUE, A PROPUESTA DE LA SECRETARÍA EJECUTIVA, EMITE LA JUNTA ESTATAL EJECUTIVA DEL INSTITUTO ELECTORAL Y DE PARTICIPACIÓN CIUDADANA DE TABASCO, MEDIANTE EL CUAL DESIGNA A LA PERSONA QUE OCUPARÁ LA VACANTE </w:t>
      </w:r>
      <w:r w:rsidRPr="00C628A6">
        <w:rPr>
          <w:rFonts w:ascii="Arial" w:hAnsi="Arial" w:cs="Arial"/>
          <w:b/>
        </w:rPr>
        <w:t>ORIGINADA EN EL ÓRGANO CENTRAL QUE PROPONE</w:t>
      </w:r>
    </w:p>
    <w:p w14:paraId="7602790E" w14:textId="77777777" w:rsidR="00977DFA" w:rsidRPr="007E2311" w:rsidRDefault="00977DFA" w:rsidP="00977DFA">
      <w:pPr>
        <w:spacing w:before="0" w:after="0"/>
        <w:rPr>
          <w:rFonts w:ascii="Arial" w:hAnsi="Arial" w:cs="Arial"/>
          <w:b/>
          <w:color w:val="000000" w:themeColor="text1"/>
        </w:rPr>
      </w:pPr>
    </w:p>
    <w:p w14:paraId="57EAF616" w14:textId="77777777" w:rsidR="00977DFA" w:rsidRPr="006F275E" w:rsidRDefault="00977DFA" w:rsidP="00977DFA">
      <w:pPr>
        <w:spacing w:before="0" w:after="0"/>
        <w:rPr>
          <w:rFonts w:ascii="Arial" w:hAnsi="Arial" w:cs="Arial"/>
          <w:color w:val="000000" w:themeColor="text1"/>
          <w:sz w:val="22"/>
          <w:szCs w:val="22"/>
        </w:rPr>
      </w:pPr>
      <w:r w:rsidRPr="006F275E">
        <w:rPr>
          <w:rFonts w:ascii="Arial" w:hAnsi="Arial" w:cs="Arial"/>
          <w:color w:val="000000" w:themeColor="text1"/>
          <w:sz w:val="22"/>
          <w:szCs w:val="22"/>
        </w:rPr>
        <w:t>Para efectos del presente acuerdo se usarán las abreviaturas y definiciones siguientes:</w:t>
      </w:r>
    </w:p>
    <w:p w14:paraId="6BEF8853" w14:textId="77777777" w:rsidR="00977DFA" w:rsidRPr="007E2311" w:rsidRDefault="00977DFA" w:rsidP="00977DFA">
      <w:pPr>
        <w:spacing w:before="0" w:after="0"/>
        <w:rPr>
          <w:rFonts w:ascii="Arial" w:hAnsi="Arial" w:cs="Arial"/>
          <w:color w:val="000000" w:themeColor="text1"/>
          <w:sz w:val="23"/>
          <w:szCs w:val="23"/>
        </w:rPr>
      </w:pPr>
    </w:p>
    <w:p w14:paraId="5F4DCC4A" w14:textId="77777777" w:rsidR="00977DFA" w:rsidRPr="00CC67E2" w:rsidRDefault="00977DFA" w:rsidP="00977DFA">
      <w:pPr>
        <w:spacing w:before="0" w:after="0"/>
        <w:rPr>
          <w:rFonts w:ascii="Arial" w:hAnsi="Arial" w:cs="Arial"/>
          <w:color w:val="000000" w:themeColor="text1"/>
          <w:sz w:val="23"/>
          <w:szCs w:val="23"/>
        </w:rPr>
      </w:pPr>
    </w:p>
    <w:tbl>
      <w:tblPr>
        <w:tblStyle w:val="Tablaconcuadrcula"/>
        <w:tblW w:w="0" w:type="auto"/>
        <w:tblInd w:w="704" w:type="dxa"/>
        <w:tblLook w:val="04A0" w:firstRow="1" w:lastRow="0" w:firstColumn="1" w:lastColumn="0" w:noHBand="0" w:noVBand="1"/>
      </w:tblPr>
      <w:tblGrid>
        <w:gridCol w:w="2693"/>
        <w:gridCol w:w="4962"/>
      </w:tblGrid>
      <w:tr w:rsidR="00977DFA" w:rsidRPr="00CC67E2" w14:paraId="6448F083" w14:textId="77777777" w:rsidTr="0053244E">
        <w:tc>
          <w:tcPr>
            <w:tcW w:w="2693" w:type="dxa"/>
            <w:vAlign w:val="center"/>
          </w:tcPr>
          <w:p w14:paraId="46A321B4" w14:textId="77777777" w:rsidR="00977DFA" w:rsidRPr="00CC67E2" w:rsidRDefault="00977DFA" w:rsidP="0053244E">
            <w:pPr>
              <w:spacing w:before="120" w:after="120"/>
              <w:jc w:val="right"/>
              <w:rPr>
                <w:rFonts w:ascii="Arial" w:hAnsi="Arial" w:cs="Arial"/>
                <w:b/>
                <w:color w:val="000000" w:themeColor="text1"/>
                <w:sz w:val="20"/>
                <w:szCs w:val="20"/>
              </w:rPr>
            </w:pPr>
            <w:r w:rsidRPr="00CC67E2">
              <w:rPr>
                <w:rFonts w:ascii="Arial" w:hAnsi="Arial" w:cs="Arial"/>
                <w:b/>
                <w:color w:val="000000" w:themeColor="text1"/>
                <w:sz w:val="20"/>
                <w:szCs w:val="20"/>
              </w:rPr>
              <w:t>Consejo Estatal:</w:t>
            </w:r>
          </w:p>
        </w:tc>
        <w:tc>
          <w:tcPr>
            <w:tcW w:w="4962" w:type="dxa"/>
            <w:vAlign w:val="center"/>
          </w:tcPr>
          <w:p w14:paraId="7B50C2AA" w14:textId="77777777" w:rsidR="00977DFA" w:rsidRPr="00CC67E2" w:rsidRDefault="00977DFA" w:rsidP="0053244E">
            <w:pPr>
              <w:spacing w:before="120" w:after="120"/>
              <w:rPr>
                <w:rFonts w:ascii="Arial" w:hAnsi="Arial" w:cs="Arial"/>
                <w:color w:val="000000" w:themeColor="text1"/>
                <w:sz w:val="20"/>
                <w:szCs w:val="20"/>
              </w:rPr>
            </w:pPr>
            <w:r w:rsidRPr="00CC67E2">
              <w:rPr>
                <w:rFonts w:ascii="Arial" w:hAnsi="Arial" w:cs="Arial"/>
                <w:color w:val="000000" w:themeColor="text1"/>
                <w:sz w:val="20"/>
                <w:szCs w:val="20"/>
              </w:rPr>
              <w:t>Consejo Estatal del Instituto Electoral y de Participación Ciudadana de Tabasco.</w:t>
            </w:r>
          </w:p>
        </w:tc>
      </w:tr>
      <w:tr w:rsidR="00977DFA" w:rsidRPr="00CC67E2" w14:paraId="3C842FF8" w14:textId="77777777" w:rsidTr="0053244E">
        <w:tc>
          <w:tcPr>
            <w:tcW w:w="2693" w:type="dxa"/>
            <w:vAlign w:val="center"/>
          </w:tcPr>
          <w:p w14:paraId="5D3FBC10" w14:textId="77777777" w:rsidR="00977DFA" w:rsidRPr="00CC67E2" w:rsidRDefault="00977DFA" w:rsidP="0053244E">
            <w:pPr>
              <w:spacing w:before="120" w:after="120"/>
              <w:jc w:val="right"/>
              <w:rPr>
                <w:rFonts w:ascii="Arial" w:hAnsi="Arial" w:cs="Arial"/>
                <w:b/>
                <w:color w:val="000000" w:themeColor="text1"/>
                <w:sz w:val="20"/>
                <w:szCs w:val="20"/>
              </w:rPr>
            </w:pPr>
            <w:r w:rsidRPr="00CC67E2">
              <w:rPr>
                <w:rFonts w:ascii="Arial" w:hAnsi="Arial" w:cs="Arial"/>
                <w:b/>
                <w:color w:val="000000" w:themeColor="text1"/>
                <w:sz w:val="20"/>
                <w:szCs w:val="20"/>
              </w:rPr>
              <w:t>Constitución Federal:</w:t>
            </w:r>
          </w:p>
        </w:tc>
        <w:tc>
          <w:tcPr>
            <w:tcW w:w="4962" w:type="dxa"/>
            <w:vAlign w:val="center"/>
          </w:tcPr>
          <w:p w14:paraId="711E8FEB" w14:textId="77777777" w:rsidR="00977DFA" w:rsidRPr="00CC67E2" w:rsidRDefault="00977DFA" w:rsidP="0053244E">
            <w:pPr>
              <w:spacing w:before="120" w:after="120"/>
              <w:rPr>
                <w:rFonts w:ascii="Arial" w:hAnsi="Arial" w:cs="Arial"/>
                <w:color w:val="000000" w:themeColor="text1"/>
                <w:sz w:val="20"/>
                <w:szCs w:val="20"/>
              </w:rPr>
            </w:pPr>
            <w:r w:rsidRPr="00CC67E2">
              <w:rPr>
                <w:rFonts w:ascii="Arial" w:hAnsi="Arial" w:cs="Arial"/>
                <w:color w:val="000000" w:themeColor="text1"/>
                <w:sz w:val="20"/>
                <w:szCs w:val="20"/>
              </w:rPr>
              <w:t>Constitución Política de los Estados Unidos Mexicanos.</w:t>
            </w:r>
          </w:p>
        </w:tc>
      </w:tr>
      <w:tr w:rsidR="00977DFA" w:rsidRPr="00CC67E2" w14:paraId="1CEAE0F7" w14:textId="77777777" w:rsidTr="0053244E">
        <w:tc>
          <w:tcPr>
            <w:tcW w:w="2693" w:type="dxa"/>
            <w:vAlign w:val="center"/>
          </w:tcPr>
          <w:p w14:paraId="363111D7" w14:textId="77777777" w:rsidR="00977DFA" w:rsidRPr="00CC67E2" w:rsidRDefault="00977DFA" w:rsidP="0053244E">
            <w:pPr>
              <w:spacing w:before="120" w:after="120"/>
              <w:jc w:val="right"/>
              <w:rPr>
                <w:rFonts w:ascii="Arial" w:hAnsi="Arial" w:cs="Arial"/>
                <w:b/>
                <w:color w:val="000000" w:themeColor="text1"/>
                <w:sz w:val="20"/>
                <w:szCs w:val="20"/>
              </w:rPr>
            </w:pPr>
            <w:r w:rsidRPr="00CC67E2">
              <w:rPr>
                <w:rFonts w:ascii="Arial" w:hAnsi="Arial" w:cs="Arial"/>
                <w:b/>
                <w:color w:val="000000" w:themeColor="text1"/>
                <w:sz w:val="20"/>
                <w:szCs w:val="20"/>
              </w:rPr>
              <w:t>Constitución Local:</w:t>
            </w:r>
          </w:p>
        </w:tc>
        <w:tc>
          <w:tcPr>
            <w:tcW w:w="4962" w:type="dxa"/>
            <w:vAlign w:val="center"/>
          </w:tcPr>
          <w:p w14:paraId="1386294B" w14:textId="77777777" w:rsidR="00977DFA" w:rsidRPr="00CC67E2" w:rsidRDefault="00977DFA" w:rsidP="0053244E">
            <w:pPr>
              <w:spacing w:before="120" w:after="120"/>
              <w:rPr>
                <w:rFonts w:ascii="Arial" w:hAnsi="Arial" w:cs="Arial"/>
                <w:color w:val="000000" w:themeColor="text1"/>
                <w:sz w:val="20"/>
                <w:szCs w:val="20"/>
              </w:rPr>
            </w:pPr>
            <w:r w:rsidRPr="00CC67E2">
              <w:rPr>
                <w:rFonts w:ascii="Arial" w:hAnsi="Arial" w:cs="Arial"/>
                <w:color w:val="000000" w:themeColor="text1"/>
                <w:sz w:val="20"/>
                <w:szCs w:val="20"/>
              </w:rPr>
              <w:t>Constitución Política del Estado Libre y Soberano de Tabasco.</w:t>
            </w:r>
          </w:p>
        </w:tc>
      </w:tr>
      <w:tr w:rsidR="00977DFA" w:rsidRPr="00CC67E2" w14:paraId="1FEDEEB5" w14:textId="77777777" w:rsidTr="0053244E">
        <w:tc>
          <w:tcPr>
            <w:tcW w:w="2693" w:type="dxa"/>
            <w:vAlign w:val="center"/>
          </w:tcPr>
          <w:p w14:paraId="79C5187A" w14:textId="77777777" w:rsidR="00977DFA" w:rsidRPr="00CC67E2" w:rsidRDefault="00977DFA" w:rsidP="0053244E">
            <w:pPr>
              <w:spacing w:before="120" w:after="120"/>
              <w:jc w:val="right"/>
              <w:rPr>
                <w:rFonts w:ascii="Arial" w:hAnsi="Arial" w:cs="Arial"/>
                <w:b/>
                <w:color w:val="000000" w:themeColor="text1"/>
                <w:sz w:val="20"/>
                <w:szCs w:val="20"/>
              </w:rPr>
            </w:pPr>
            <w:r w:rsidRPr="00CC67E2">
              <w:rPr>
                <w:rFonts w:ascii="Arial" w:hAnsi="Arial" w:cs="Arial"/>
                <w:b/>
                <w:color w:val="000000" w:themeColor="text1"/>
                <w:sz w:val="20"/>
                <w:szCs w:val="20"/>
              </w:rPr>
              <w:t>INE:</w:t>
            </w:r>
          </w:p>
        </w:tc>
        <w:tc>
          <w:tcPr>
            <w:tcW w:w="4962" w:type="dxa"/>
            <w:vAlign w:val="center"/>
          </w:tcPr>
          <w:p w14:paraId="1948FBBB" w14:textId="77777777" w:rsidR="00977DFA" w:rsidRPr="00CC67E2" w:rsidRDefault="00977DFA" w:rsidP="0053244E">
            <w:pPr>
              <w:spacing w:before="120" w:after="120"/>
              <w:rPr>
                <w:rFonts w:ascii="Arial" w:hAnsi="Arial" w:cs="Arial"/>
                <w:color w:val="000000" w:themeColor="text1"/>
                <w:sz w:val="20"/>
                <w:szCs w:val="20"/>
              </w:rPr>
            </w:pPr>
            <w:r w:rsidRPr="00CC67E2">
              <w:rPr>
                <w:rFonts w:ascii="Arial" w:hAnsi="Arial" w:cs="Arial"/>
                <w:color w:val="000000" w:themeColor="text1"/>
                <w:sz w:val="20"/>
                <w:szCs w:val="20"/>
              </w:rPr>
              <w:t>Instituto Nacional Electoral.</w:t>
            </w:r>
          </w:p>
        </w:tc>
      </w:tr>
      <w:tr w:rsidR="00977DFA" w:rsidRPr="00CC67E2" w14:paraId="62FA1EAE" w14:textId="77777777" w:rsidTr="0053244E">
        <w:tc>
          <w:tcPr>
            <w:tcW w:w="2693" w:type="dxa"/>
            <w:vAlign w:val="center"/>
          </w:tcPr>
          <w:p w14:paraId="05EB4AF5" w14:textId="77777777" w:rsidR="00977DFA" w:rsidRPr="00CC67E2" w:rsidRDefault="00977DFA" w:rsidP="0053244E">
            <w:pPr>
              <w:spacing w:before="120" w:after="120"/>
              <w:jc w:val="right"/>
              <w:rPr>
                <w:rFonts w:ascii="Arial" w:hAnsi="Arial" w:cs="Arial"/>
                <w:b/>
                <w:color w:val="000000" w:themeColor="text1"/>
                <w:sz w:val="20"/>
                <w:szCs w:val="20"/>
              </w:rPr>
            </w:pPr>
            <w:r w:rsidRPr="00CC67E2">
              <w:rPr>
                <w:rFonts w:ascii="Arial" w:hAnsi="Arial" w:cs="Arial"/>
                <w:b/>
                <w:color w:val="000000" w:themeColor="text1"/>
                <w:sz w:val="20"/>
                <w:szCs w:val="20"/>
              </w:rPr>
              <w:t>Instituto:</w:t>
            </w:r>
          </w:p>
        </w:tc>
        <w:tc>
          <w:tcPr>
            <w:tcW w:w="4962" w:type="dxa"/>
            <w:vAlign w:val="center"/>
          </w:tcPr>
          <w:p w14:paraId="2EA74B22" w14:textId="77777777" w:rsidR="00977DFA" w:rsidRPr="00CC67E2" w:rsidRDefault="00977DFA" w:rsidP="0053244E">
            <w:pPr>
              <w:spacing w:before="120" w:after="120"/>
              <w:rPr>
                <w:rFonts w:ascii="Arial" w:hAnsi="Arial" w:cs="Arial"/>
                <w:color w:val="000000" w:themeColor="text1"/>
                <w:sz w:val="20"/>
                <w:szCs w:val="20"/>
              </w:rPr>
            </w:pPr>
            <w:r w:rsidRPr="00CC67E2">
              <w:rPr>
                <w:rFonts w:ascii="Arial" w:hAnsi="Arial" w:cs="Arial"/>
                <w:color w:val="000000" w:themeColor="text1"/>
                <w:sz w:val="20"/>
                <w:szCs w:val="20"/>
              </w:rPr>
              <w:t>Instituto Electoral y de Participación Ciudadana de Tabasco.</w:t>
            </w:r>
          </w:p>
        </w:tc>
      </w:tr>
      <w:tr w:rsidR="00977DFA" w:rsidRPr="00CC67E2" w14:paraId="64401779" w14:textId="77777777" w:rsidTr="0053244E">
        <w:tc>
          <w:tcPr>
            <w:tcW w:w="2693" w:type="dxa"/>
            <w:vAlign w:val="center"/>
          </w:tcPr>
          <w:p w14:paraId="3077F66B" w14:textId="77777777" w:rsidR="00977DFA" w:rsidRPr="00CC67E2" w:rsidRDefault="00977DFA" w:rsidP="0053244E">
            <w:pPr>
              <w:spacing w:before="120" w:after="120"/>
              <w:jc w:val="right"/>
              <w:rPr>
                <w:rFonts w:ascii="Arial" w:hAnsi="Arial" w:cs="Arial"/>
                <w:b/>
                <w:color w:val="000000" w:themeColor="text1"/>
                <w:sz w:val="20"/>
                <w:szCs w:val="20"/>
              </w:rPr>
            </w:pPr>
            <w:r w:rsidRPr="00CC67E2">
              <w:rPr>
                <w:rFonts w:ascii="Arial" w:hAnsi="Arial" w:cs="Arial"/>
                <w:b/>
                <w:color w:val="000000" w:themeColor="text1"/>
                <w:sz w:val="20"/>
                <w:szCs w:val="20"/>
              </w:rPr>
              <w:t>Junta Ejecutiva:</w:t>
            </w:r>
          </w:p>
        </w:tc>
        <w:tc>
          <w:tcPr>
            <w:tcW w:w="4962" w:type="dxa"/>
            <w:vAlign w:val="center"/>
          </w:tcPr>
          <w:p w14:paraId="05352E5B" w14:textId="77777777" w:rsidR="00977DFA" w:rsidRPr="00CC67E2" w:rsidRDefault="00977DFA" w:rsidP="0053244E">
            <w:pPr>
              <w:spacing w:before="120" w:after="120"/>
              <w:rPr>
                <w:rFonts w:ascii="Arial" w:hAnsi="Arial" w:cs="Arial"/>
                <w:color w:val="000000" w:themeColor="text1"/>
                <w:sz w:val="20"/>
                <w:szCs w:val="20"/>
              </w:rPr>
            </w:pPr>
            <w:r w:rsidRPr="00CC67E2">
              <w:rPr>
                <w:rFonts w:ascii="Arial" w:hAnsi="Arial" w:cs="Arial"/>
                <w:color w:val="000000" w:themeColor="text1"/>
                <w:sz w:val="20"/>
                <w:szCs w:val="20"/>
              </w:rPr>
              <w:t>Junta Estatal Ejecutiva del Instituto Electoral y de Participación Ciudadana de Tabasco.</w:t>
            </w:r>
          </w:p>
        </w:tc>
      </w:tr>
      <w:tr w:rsidR="00977DFA" w:rsidRPr="00CC67E2" w14:paraId="77A93FE0" w14:textId="77777777" w:rsidTr="0053244E">
        <w:tc>
          <w:tcPr>
            <w:tcW w:w="2693" w:type="dxa"/>
            <w:vAlign w:val="center"/>
          </w:tcPr>
          <w:p w14:paraId="09D16290" w14:textId="77777777" w:rsidR="00977DFA" w:rsidRPr="00CC67E2" w:rsidRDefault="00977DFA" w:rsidP="0053244E">
            <w:pPr>
              <w:spacing w:before="120" w:after="120"/>
              <w:jc w:val="right"/>
              <w:rPr>
                <w:rFonts w:ascii="Arial" w:hAnsi="Arial" w:cs="Arial"/>
                <w:b/>
                <w:color w:val="000000" w:themeColor="text1"/>
                <w:sz w:val="20"/>
                <w:szCs w:val="20"/>
              </w:rPr>
            </w:pPr>
            <w:r w:rsidRPr="00CC67E2">
              <w:rPr>
                <w:rFonts w:ascii="Arial" w:hAnsi="Arial" w:cs="Arial"/>
                <w:b/>
                <w:color w:val="000000" w:themeColor="text1"/>
                <w:sz w:val="20"/>
                <w:szCs w:val="20"/>
              </w:rPr>
              <w:t>Ley Electoral:</w:t>
            </w:r>
          </w:p>
        </w:tc>
        <w:tc>
          <w:tcPr>
            <w:tcW w:w="4962" w:type="dxa"/>
            <w:vAlign w:val="center"/>
          </w:tcPr>
          <w:p w14:paraId="40BEED7A" w14:textId="77777777" w:rsidR="00977DFA" w:rsidRPr="00CC67E2" w:rsidRDefault="00977DFA" w:rsidP="0053244E">
            <w:pPr>
              <w:spacing w:before="120" w:after="120"/>
              <w:rPr>
                <w:rFonts w:ascii="Arial" w:hAnsi="Arial" w:cs="Arial"/>
                <w:color w:val="000000" w:themeColor="text1"/>
                <w:sz w:val="20"/>
                <w:szCs w:val="20"/>
              </w:rPr>
            </w:pPr>
            <w:r w:rsidRPr="00CC67E2">
              <w:rPr>
                <w:rFonts w:ascii="Arial" w:hAnsi="Arial" w:cs="Arial"/>
                <w:color w:val="000000" w:themeColor="text1"/>
                <w:sz w:val="20"/>
                <w:szCs w:val="20"/>
              </w:rPr>
              <w:t>Ley Electoral y de Partidos Políticos del Estado de Tabasco.</w:t>
            </w:r>
          </w:p>
        </w:tc>
      </w:tr>
      <w:tr w:rsidR="00977DFA" w:rsidRPr="00CC67E2" w14:paraId="6149080B" w14:textId="77777777" w:rsidTr="0053244E">
        <w:tc>
          <w:tcPr>
            <w:tcW w:w="2693" w:type="dxa"/>
            <w:vAlign w:val="center"/>
          </w:tcPr>
          <w:p w14:paraId="33047D6C" w14:textId="77777777" w:rsidR="00977DFA" w:rsidRPr="00CC67E2" w:rsidRDefault="00977DFA" w:rsidP="0053244E">
            <w:pPr>
              <w:spacing w:before="120" w:after="120"/>
              <w:jc w:val="right"/>
              <w:rPr>
                <w:rFonts w:ascii="Arial" w:hAnsi="Arial" w:cs="Arial"/>
                <w:b/>
                <w:color w:val="000000" w:themeColor="text1"/>
                <w:sz w:val="20"/>
                <w:szCs w:val="20"/>
              </w:rPr>
            </w:pPr>
            <w:r w:rsidRPr="00CC67E2">
              <w:rPr>
                <w:rFonts w:ascii="Arial" w:hAnsi="Arial" w:cs="Arial"/>
                <w:b/>
                <w:color w:val="000000" w:themeColor="text1"/>
                <w:sz w:val="20"/>
                <w:szCs w:val="20"/>
              </w:rPr>
              <w:t>Organismo electoral:</w:t>
            </w:r>
          </w:p>
        </w:tc>
        <w:tc>
          <w:tcPr>
            <w:tcW w:w="4962" w:type="dxa"/>
            <w:vAlign w:val="center"/>
          </w:tcPr>
          <w:p w14:paraId="4E4C5440" w14:textId="77777777" w:rsidR="00977DFA" w:rsidRPr="00CC67E2" w:rsidRDefault="00977DFA" w:rsidP="0053244E">
            <w:pPr>
              <w:spacing w:before="120" w:after="120"/>
              <w:rPr>
                <w:rFonts w:ascii="Arial" w:hAnsi="Arial" w:cs="Arial"/>
                <w:color w:val="000000" w:themeColor="text1"/>
                <w:sz w:val="20"/>
                <w:szCs w:val="20"/>
              </w:rPr>
            </w:pPr>
            <w:r w:rsidRPr="00CC67E2">
              <w:rPr>
                <w:rFonts w:ascii="Arial" w:hAnsi="Arial" w:cs="Arial"/>
                <w:color w:val="000000" w:themeColor="text1"/>
                <w:sz w:val="20"/>
                <w:szCs w:val="20"/>
              </w:rPr>
              <w:t xml:space="preserve">Organismo(s) público(s) local(es) electoral(es). </w:t>
            </w:r>
          </w:p>
        </w:tc>
      </w:tr>
      <w:tr w:rsidR="00977DFA" w:rsidRPr="00CC67E2" w14:paraId="1474405A" w14:textId="77777777" w:rsidTr="0053244E">
        <w:tc>
          <w:tcPr>
            <w:tcW w:w="2693" w:type="dxa"/>
            <w:vAlign w:val="center"/>
          </w:tcPr>
          <w:p w14:paraId="49C6844F" w14:textId="77777777" w:rsidR="00977DFA" w:rsidRPr="00CC67E2" w:rsidRDefault="00977DFA" w:rsidP="0053244E">
            <w:pPr>
              <w:spacing w:before="120" w:after="120"/>
              <w:jc w:val="right"/>
              <w:rPr>
                <w:rFonts w:ascii="Arial" w:hAnsi="Arial" w:cs="Arial"/>
                <w:b/>
                <w:color w:val="000000" w:themeColor="text1"/>
                <w:sz w:val="20"/>
                <w:szCs w:val="20"/>
              </w:rPr>
            </w:pPr>
            <w:r w:rsidRPr="00CC67E2">
              <w:rPr>
                <w:rFonts w:ascii="Arial" w:hAnsi="Arial" w:cs="Arial"/>
                <w:b/>
                <w:color w:val="000000" w:themeColor="text1"/>
                <w:sz w:val="20"/>
                <w:szCs w:val="20"/>
              </w:rPr>
              <w:t>Reglamento interior:</w:t>
            </w:r>
          </w:p>
        </w:tc>
        <w:tc>
          <w:tcPr>
            <w:tcW w:w="4962" w:type="dxa"/>
            <w:vAlign w:val="center"/>
          </w:tcPr>
          <w:p w14:paraId="5FCE9D45" w14:textId="77777777" w:rsidR="00977DFA" w:rsidRPr="00CC67E2" w:rsidRDefault="00977DFA" w:rsidP="0053244E">
            <w:pPr>
              <w:spacing w:before="120" w:after="120"/>
              <w:rPr>
                <w:rFonts w:ascii="Arial" w:hAnsi="Arial" w:cs="Arial"/>
                <w:color w:val="000000" w:themeColor="text1"/>
                <w:sz w:val="20"/>
                <w:szCs w:val="20"/>
              </w:rPr>
            </w:pPr>
            <w:r w:rsidRPr="00CC67E2">
              <w:rPr>
                <w:rFonts w:ascii="Arial" w:hAnsi="Arial" w:cs="Arial"/>
                <w:color w:val="000000" w:themeColor="text1"/>
                <w:sz w:val="20"/>
                <w:szCs w:val="20"/>
              </w:rPr>
              <w:t>Reglamento interior del Instituto Electoral y de Participación Ciudadana de Tabasco.</w:t>
            </w:r>
          </w:p>
        </w:tc>
      </w:tr>
      <w:tr w:rsidR="00977DFA" w:rsidRPr="00CC67E2" w14:paraId="3F8A8E92" w14:textId="77777777" w:rsidTr="0053244E">
        <w:tc>
          <w:tcPr>
            <w:tcW w:w="2693" w:type="dxa"/>
            <w:vAlign w:val="center"/>
          </w:tcPr>
          <w:p w14:paraId="4AD57FD5" w14:textId="77777777" w:rsidR="00977DFA" w:rsidRPr="00CC67E2" w:rsidRDefault="00977DFA" w:rsidP="0053244E">
            <w:pPr>
              <w:spacing w:before="120" w:after="120"/>
              <w:jc w:val="right"/>
              <w:rPr>
                <w:rFonts w:ascii="Arial" w:hAnsi="Arial" w:cs="Arial"/>
                <w:b/>
                <w:color w:val="000000" w:themeColor="text1"/>
                <w:sz w:val="20"/>
                <w:szCs w:val="20"/>
              </w:rPr>
            </w:pPr>
            <w:r w:rsidRPr="00CC67E2">
              <w:rPr>
                <w:rFonts w:ascii="Arial" w:hAnsi="Arial" w:cs="Arial"/>
                <w:b/>
                <w:color w:val="000000" w:themeColor="text1"/>
                <w:sz w:val="20"/>
                <w:szCs w:val="20"/>
              </w:rPr>
              <w:t>Secretaría Ejecutiva:</w:t>
            </w:r>
          </w:p>
        </w:tc>
        <w:tc>
          <w:tcPr>
            <w:tcW w:w="4962" w:type="dxa"/>
            <w:vAlign w:val="center"/>
          </w:tcPr>
          <w:p w14:paraId="7B95DEA0" w14:textId="77777777" w:rsidR="00977DFA" w:rsidRPr="00CC67E2" w:rsidRDefault="00977DFA" w:rsidP="0053244E">
            <w:pPr>
              <w:spacing w:before="120" w:after="120"/>
              <w:rPr>
                <w:rFonts w:ascii="Arial" w:hAnsi="Arial" w:cs="Arial"/>
                <w:color w:val="000000" w:themeColor="text1"/>
                <w:sz w:val="20"/>
                <w:szCs w:val="20"/>
              </w:rPr>
            </w:pPr>
            <w:r w:rsidRPr="00CC67E2">
              <w:rPr>
                <w:rFonts w:ascii="Arial" w:hAnsi="Arial" w:cs="Arial"/>
                <w:color w:val="000000" w:themeColor="text1"/>
                <w:sz w:val="20"/>
                <w:szCs w:val="20"/>
              </w:rPr>
              <w:t>Secretaría Ejecutiva del Instituto Electoral y de Participación Ciudadana de Tabasco.</w:t>
            </w:r>
          </w:p>
        </w:tc>
      </w:tr>
    </w:tbl>
    <w:p w14:paraId="3D8C2A7B" w14:textId="77777777" w:rsidR="00977DFA" w:rsidRPr="006F275E" w:rsidRDefault="00977DFA" w:rsidP="00977DFA">
      <w:pPr>
        <w:pStyle w:val="Ttulo1"/>
        <w:ind w:left="431" w:hanging="431"/>
        <w:rPr>
          <w:rFonts w:ascii="Arial" w:hAnsi="Arial" w:cs="Arial"/>
          <w:color w:val="000000" w:themeColor="text1"/>
          <w:sz w:val="24"/>
          <w:szCs w:val="24"/>
        </w:rPr>
      </w:pPr>
      <w:r w:rsidRPr="006F275E">
        <w:rPr>
          <w:rFonts w:ascii="Arial" w:hAnsi="Arial" w:cs="Arial"/>
          <w:color w:val="000000" w:themeColor="text1"/>
          <w:sz w:val="24"/>
          <w:szCs w:val="24"/>
        </w:rPr>
        <w:lastRenderedPageBreak/>
        <w:t>Antecedentes</w:t>
      </w:r>
    </w:p>
    <w:p w14:paraId="454690F7" w14:textId="77777777" w:rsidR="00977DFA" w:rsidRPr="006F275E" w:rsidRDefault="00977DFA" w:rsidP="00977DFA">
      <w:pPr>
        <w:pStyle w:val="Ttulo2"/>
        <w:rPr>
          <w:rFonts w:ascii="Arial" w:hAnsi="Arial" w:cs="Arial"/>
          <w:color w:val="auto"/>
          <w:sz w:val="22"/>
          <w:szCs w:val="22"/>
        </w:rPr>
      </w:pPr>
      <w:r w:rsidRPr="006F275E">
        <w:rPr>
          <w:rFonts w:ascii="Arial" w:hAnsi="Arial" w:cs="Arial"/>
          <w:color w:val="auto"/>
          <w:sz w:val="22"/>
          <w:szCs w:val="22"/>
        </w:rPr>
        <w:t>Fines del Instituto</w:t>
      </w:r>
    </w:p>
    <w:p w14:paraId="3F343D3B" w14:textId="77777777" w:rsidR="00977DFA" w:rsidRPr="006F275E" w:rsidRDefault="00977DFA" w:rsidP="00977DFA">
      <w:pPr>
        <w:rPr>
          <w:rFonts w:ascii="Arial" w:hAnsi="Arial" w:cs="Arial"/>
          <w:sz w:val="22"/>
          <w:szCs w:val="22"/>
        </w:rPr>
      </w:pPr>
      <w:r w:rsidRPr="006F275E">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21DD0AE" w14:textId="77777777" w:rsidR="00977DFA" w:rsidRPr="006F275E" w:rsidRDefault="00977DFA" w:rsidP="00977DFA">
      <w:pPr>
        <w:rPr>
          <w:rFonts w:ascii="Arial" w:hAnsi="Arial" w:cs="Arial"/>
          <w:sz w:val="22"/>
          <w:szCs w:val="22"/>
        </w:rPr>
      </w:pPr>
      <w:r w:rsidRPr="006F275E">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5CDB91A7" w14:textId="77777777" w:rsidR="00977DFA" w:rsidRPr="006F275E" w:rsidRDefault="00977DFA" w:rsidP="00977DFA">
      <w:pPr>
        <w:rPr>
          <w:rFonts w:ascii="Arial" w:hAnsi="Arial" w:cs="Arial"/>
          <w:sz w:val="22"/>
          <w:szCs w:val="22"/>
        </w:rPr>
      </w:pPr>
      <w:r w:rsidRPr="006F275E">
        <w:rPr>
          <w:rFonts w:ascii="Arial" w:hAnsi="Arial" w:cs="Arial"/>
          <w:sz w:val="22"/>
          <w:szCs w:val="22"/>
        </w:rPr>
        <w:t>Las finalidades del Instituto, de acuerdo al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6E6FA9D4" w14:textId="77777777" w:rsidR="00977DFA" w:rsidRPr="006F275E" w:rsidRDefault="00977DFA" w:rsidP="00977DFA">
      <w:pPr>
        <w:pStyle w:val="Ttulo2"/>
        <w:rPr>
          <w:rFonts w:ascii="Arial" w:hAnsi="Arial" w:cs="Arial"/>
          <w:color w:val="auto"/>
          <w:sz w:val="22"/>
          <w:szCs w:val="22"/>
        </w:rPr>
      </w:pPr>
      <w:r w:rsidRPr="006F275E">
        <w:rPr>
          <w:rFonts w:ascii="Arial" w:hAnsi="Arial" w:cs="Arial"/>
          <w:color w:val="auto"/>
          <w:sz w:val="22"/>
          <w:szCs w:val="22"/>
        </w:rPr>
        <w:t>Estructura organizacional</w:t>
      </w:r>
    </w:p>
    <w:p w14:paraId="4CD31503" w14:textId="77777777" w:rsidR="00977DFA" w:rsidRPr="006F275E" w:rsidRDefault="00977DFA" w:rsidP="00977DFA">
      <w:pPr>
        <w:rPr>
          <w:rFonts w:ascii="Arial" w:hAnsi="Arial" w:cs="Arial"/>
          <w:sz w:val="22"/>
          <w:szCs w:val="22"/>
        </w:rPr>
      </w:pPr>
      <w:r w:rsidRPr="006F275E">
        <w:rPr>
          <w:rFonts w:ascii="Arial" w:hAnsi="Arial" w:cs="Arial"/>
          <w:sz w:val="22"/>
          <w:szCs w:val="22"/>
        </w:rPr>
        <w:t>El 05 de octubre de 2023, mediante acuerdo CE/2023/029 el Consejo Estatal modificó la estructura orgánica y aprobó el Reglamento Interior del propio Instituto, éste último tiene por objeto regular la estructura, organización y funcionamiento de los órganos centrales, así como de las direcciones y unidades administrativas del Instituto para el correcto ejercicio de sus atribuciones y el debido cumplimiento de sus fines.</w:t>
      </w:r>
    </w:p>
    <w:p w14:paraId="58D9FC9D" w14:textId="77777777" w:rsidR="00977DFA" w:rsidRPr="006F275E" w:rsidRDefault="00977DFA" w:rsidP="00977DFA">
      <w:pPr>
        <w:pStyle w:val="Ttulo2"/>
        <w:rPr>
          <w:rFonts w:ascii="Arial" w:hAnsi="Arial" w:cs="Arial"/>
          <w:color w:val="auto"/>
          <w:sz w:val="22"/>
          <w:szCs w:val="22"/>
        </w:rPr>
      </w:pPr>
      <w:r w:rsidRPr="006F275E">
        <w:rPr>
          <w:rFonts w:ascii="Arial" w:hAnsi="Arial" w:cs="Arial"/>
          <w:color w:val="auto"/>
          <w:sz w:val="22"/>
          <w:szCs w:val="22"/>
        </w:rPr>
        <w:lastRenderedPageBreak/>
        <w:t>Órganos centrales del Instituto</w:t>
      </w:r>
    </w:p>
    <w:p w14:paraId="3DBCFBC9" w14:textId="77777777" w:rsidR="00977DFA" w:rsidRPr="006F275E" w:rsidRDefault="00977DFA" w:rsidP="00977DFA">
      <w:pPr>
        <w:rPr>
          <w:rFonts w:ascii="Arial" w:hAnsi="Arial" w:cs="Arial"/>
          <w:sz w:val="22"/>
          <w:szCs w:val="22"/>
        </w:rPr>
      </w:pPr>
      <w:r w:rsidRPr="006F275E">
        <w:rPr>
          <w:rFonts w:ascii="Arial" w:hAnsi="Arial" w:cs="Arial"/>
          <w:sz w:val="22"/>
          <w:szCs w:val="22"/>
        </w:rPr>
        <w:t>Por su parte, el artículo 105 numeral 1 de la Ley Electoral los órganos centrales del Instituto son los siguientes:</w:t>
      </w:r>
    </w:p>
    <w:p w14:paraId="16142550" w14:textId="77777777" w:rsidR="00977DFA" w:rsidRPr="006F275E" w:rsidRDefault="00977DFA" w:rsidP="00977DFA">
      <w:pPr>
        <w:pStyle w:val="Prrafodelista"/>
        <w:numPr>
          <w:ilvl w:val="0"/>
          <w:numId w:val="1"/>
        </w:numPr>
        <w:rPr>
          <w:rFonts w:ascii="Arial" w:hAnsi="Arial" w:cs="Arial"/>
          <w:sz w:val="22"/>
          <w:szCs w:val="22"/>
        </w:rPr>
      </w:pPr>
      <w:r w:rsidRPr="006F275E">
        <w:rPr>
          <w:rFonts w:ascii="Arial" w:hAnsi="Arial" w:cs="Arial"/>
          <w:sz w:val="22"/>
          <w:szCs w:val="22"/>
        </w:rPr>
        <w:t>Consejo Estatal;</w:t>
      </w:r>
    </w:p>
    <w:p w14:paraId="1DE838FE" w14:textId="77777777" w:rsidR="00977DFA" w:rsidRPr="006F275E" w:rsidRDefault="00977DFA" w:rsidP="00977DFA">
      <w:pPr>
        <w:pStyle w:val="Prrafodelista"/>
        <w:numPr>
          <w:ilvl w:val="0"/>
          <w:numId w:val="1"/>
        </w:numPr>
        <w:rPr>
          <w:rFonts w:ascii="Arial" w:hAnsi="Arial" w:cs="Arial"/>
          <w:sz w:val="22"/>
          <w:szCs w:val="22"/>
        </w:rPr>
      </w:pPr>
      <w:r w:rsidRPr="006F275E">
        <w:rPr>
          <w:rFonts w:ascii="Arial" w:hAnsi="Arial" w:cs="Arial"/>
          <w:sz w:val="22"/>
          <w:szCs w:val="22"/>
        </w:rPr>
        <w:t>Presidencia del Consejo Estatal;</w:t>
      </w:r>
    </w:p>
    <w:p w14:paraId="70DF3453" w14:textId="77777777" w:rsidR="00977DFA" w:rsidRPr="006F275E" w:rsidRDefault="00977DFA" w:rsidP="00977DFA">
      <w:pPr>
        <w:pStyle w:val="Prrafodelista"/>
        <w:numPr>
          <w:ilvl w:val="0"/>
          <w:numId w:val="1"/>
        </w:numPr>
        <w:rPr>
          <w:rFonts w:ascii="Arial" w:hAnsi="Arial" w:cs="Arial"/>
          <w:sz w:val="22"/>
          <w:szCs w:val="22"/>
        </w:rPr>
      </w:pPr>
      <w:r w:rsidRPr="006F275E">
        <w:rPr>
          <w:rFonts w:ascii="Arial" w:hAnsi="Arial" w:cs="Arial"/>
          <w:sz w:val="22"/>
          <w:szCs w:val="22"/>
        </w:rPr>
        <w:t>Junta Estatal Ejecutiva;</w:t>
      </w:r>
    </w:p>
    <w:p w14:paraId="3DE73C01" w14:textId="77777777" w:rsidR="00977DFA" w:rsidRPr="006F275E" w:rsidRDefault="00977DFA" w:rsidP="00977DFA">
      <w:pPr>
        <w:pStyle w:val="Prrafodelista"/>
        <w:numPr>
          <w:ilvl w:val="0"/>
          <w:numId w:val="1"/>
        </w:numPr>
        <w:rPr>
          <w:rFonts w:ascii="Arial" w:hAnsi="Arial" w:cs="Arial"/>
          <w:sz w:val="22"/>
          <w:szCs w:val="22"/>
        </w:rPr>
      </w:pPr>
      <w:r w:rsidRPr="006F275E">
        <w:rPr>
          <w:rFonts w:ascii="Arial" w:hAnsi="Arial" w:cs="Arial"/>
          <w:sz w:val="22"/>
          <w:szCs w:val="22"/>
        </w:rPr>
        <w:t>Secretaría Ejecutiva, y</w:t>
      </w:r>
    </w:p>
    <w:p w14:paraId="6AF5C2E9" w14:textId="77777777" w:rsidR="00977DFA" w:rsidRPr="006F275E" w:rsidRDefault="00977DFA" w:rsidP="00977DFA">
      <w:pPr>
        <w:pStyle w:val="Prrafodelista"/>
        <w:numPr>
          <w:ilvl w:val="0"/>
          <w:numId w:val="1"/>
        </w:numPr>
        <w:rPr>
          <w:rFonts w:ascii="Arial" w:hAnsi="Arial" w:cs="Arial"/>
          <w:sz w:val="22"/>
          <w:szCs w:val="22"/>
        </w:rPr>
      </w:pPr>
      <w:r w:rsidRPr="006F275E">
        <w:rPr>
          <w:rFonts w:ascii="Arial" w:hAnsi="Arial" w:cs="Arial"/>
          <w:sz w:val="22"/>
          <w:szCs w:val="22"/>
        </w:rPr>
        <w:t>Órgano Técnico de Fiscalización</w:t>
      </w:r>
    </w:p>
    <w:p w14:paraId="71434899" w14:textId="77777777" w:rsidR="00977DFA" w:rsidRPr="006F275E" w:rsidRDefault="00977DFA" w:rsidP="00977DFA">
      <w:pPr>
        <w:pStyle w:val="Ttulo2"/>
        <w:rPr>
          <w:rFonts w:ascii="Arial" w:hAnsi="Arial" w:cs="Arial"/>
          <w:color w:val="auto"/>
          <w:sz w:val="22"/>
          <w:szCs w:val="22"/>
        </w:rPr>
      </w:pPr>
      <w:r w:rsidRPr="006F275E">
        <w:rPr>
          <w:rFonts w:ascii="Arial" w:hAnsi="Arial" w:cs="Arial"/>
          <w:color w:val="auto"/>
          <w:sz w:val="22"/>
          <w:szCs w:val="22"/>
        </w:rPr>
        <w:t>Vacante originada</w:t>
      </w:r>
    </w:p>
    <w:p w14:paraId="3D44FB69" w14:textId="77777777" w:rsidR="00977DFA" w:rsidRPr="006F275E" w:rsidRDefault="00977DFA" w:rsidP="00977DFA">
      <w:pPr>
        <w:rPr>
          <w:rFonts w:ascii="Arial" w:hAnsi="Arial" w:cs="Arial"/>
          <w:sz w:val="22"/>
          <w:szCs w:val="22"/>
        </w:rPr>
      </w:pPr>
      <w:r w:rsidRPr="006F275E">
        <w:rPr>
          <w:rFonts w:ascii="Arial" w:hAnsi="Arial" w:cs="Arial"/>
          <w:sz w:val="22"/>
          <w:szCs w:val="22"/>
        </w:rPr>
        <w:t>El 16 de agosto de 2025, por renuncia quedó vacante la categoría administrativa de Técnico, adscrita a la Secretaría Ejecutiva.</w:t>
      </w:r>
    </w:p>
    <w:p w14:paraId="1A6DBF4B" w14:textId="77777777" w:rsidR="00977DFA" w:rsidRPr="006F275E" w:rsidRDefault="00977DFA" w:rsidP="00977DFA">
      <w:pPr>
        <w:pStyle w:val="Ttulo1"/>
        <w:rPr>
          <w:rFonts w:ascii="Arial" w:hAnsi="Arial" w:cs="Arial"/>
          <w:sz w:val="24"/>
          <w:szCs w:val="24"/>
        </w:rPr>
      </w:pPr>
      <w:r w:rsidRPr="006F275E">
        <w:rPr>
          <w:rFonts w:ascii="Arial" w:hAnsi="Arial" w:cs="Arial"/>
          <w:sz w:val="24"/>
          <w:szCs w:val="24"/>
        </w:rPr>
        <w:t>Considerando</w:t>
      </w:r>
    </w:p>
    <w:p w14:paraId="7F50530B" w14:textId="77777777" w:rsidR="00977DFA" w:rsidRPr="006F275E" w:rsidRDefault="00977DFA" w:rsidP="00977DFA">
      <w:pPr>
        <w:pStyle w:val="Ttulo2"/>
        <w:rPr>
          <w:rFonts w:ascii="Arial" w:hAnsi="Arial" w:cs="Arial"/>
          <w:color w:val="auto"/>
          <w:sz w:val="22"/>
          <w:szCs w:val="22"/>
        </w:rPr>
      </w:pPr>
      <w:r w:rsidRPr="006F275E">
        <w:rPr>
          <w:rFonts w:ascii="Arial" w:hAnsi="Arial" w:cs="Arial"/>
          <w:color w:val="auto"/>
          <w:sz w:val="22"/>
          <w:szCs w:val="22"/>
        </w:rPr>
        <w:t>Competencia de la Junta Ejecutiva</w:t>
      </w:r>
    </w:p>
    <w:p w14:paraId="478ED30B" w14:textId="77777777" w:rsidR="00977DFA" w:rsidRPr="006F275E" w:rsidRDefault="00977DFA" w:rsidP="00977DFA">
      <w:pPr>
        <w:rPr>
          <w:rFonts w:ascii="Arial" w:hAnsi="Arial" w:cs="Arial"/>
          <w:sz w:val="22"/>
          <w:szCs w:val="22"/>
        </w:rPr>
      </w:pPr>
      <w:r w:rsidRPr="006F275E">
        <w:rPr>
          <w:rFonts w:ascii="Arial" w:hAnsi="Arial" w:cs="Arial"/>
          <w:sz w:val="22"/>
          <w:szCs w:val="22"/>
        </w:rPr>
        <w:t>De acuerdo con el artículo 118 de la Ley Electoral se establece que la Junta Ejecutiva, será presidida por la Consejera o el Consejero Presidente y se integrará con la Secretaría Ejecutiva y con las personas titulares de las Direcciones de Organización Electoral y Educación Cívica; y de Administración. Además, sus atribuciones se prevén en los artículos119 de la Ley Electoral.</w:t>
      </w:r>
    </w:p>
    <w:p w14:paraId="4D432530" w14:textId="77777777" w:rsidR="00977DFA" w:rsidRPr="006F275E" w:rsidRDefault="00977DFA" w:rsidP="00977DFA">
      <w:pPr>
        <w:rPr>
          <w:sz w:val="22"/>
          <w:szCs w:val="22"/>
        </w:rPr>
      </w:pPr>
      <w:r w:rsidRPr="006F275E">
        <w:rPr>
          <w:rFonts w:ascii="Arial" w:hAnsi="Arial" w:cs="Arial"/>
          <w:sz w:val="22"/>
          <w:szCs w:val="22"/>
        </w:rPr>
        <w:t>Por otra parte, el artículo 16, fracción VI del Reglamento Interior prevé que corresponde a la Junta Ejecutiva la designación del personal del Instituto con excepción de aquellos previstos en el Reglamento de Elecciones y del Servicio Profesional Electoral Nacional, conforme a las disposiciones aplicables.</w:t>
      </w:r>
    </w:p>
    <w:p w14:paraId="23F67443" w14:textId="77777777" w:rsidR="00977DFA" w:rsidRPr="006F275E" w:rsidRDefault="00977DFA" w:rsidP="00977DFA">
      <w:pPr>
        <w:rPr>
          <w:rFonts w:ascii="Arial" w:hAnsi="Arial" w:cs="Arial"/>
          <w:sz w:val="22"/>
          <w:szCs w:val="22"/>
        </w:rPr>
      </w:pPr>
      <w:r w:rsidRPr="006F275E">
        <w:rPr>
          <w:rFonts w:ascii="Arial" w:hAnsi="Arial" w:cs="Arial"/>
          <w:sz w:val="22"/>
          <w:szCs w:val="22"/>
        </w:rPr>
        <w:t xml:space="preserve">Asu vez,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 de lo anterior, si bien de manera expresa no se indica que es para la Junta Ejecutiva, se puede </w:t>
      </w:r>
      <w:r w:rsidRPr="006F275E">
        <w:rPr>
          <w:rFonts w:ascii="Arial" w:hAnsi="Arial" w:cs="Arial"/>
          <w:sz w:val="22"/>
          <w:szCs w:val="22"/>
        </w:rPr>
        <w:lastRenderedPageBreak/>
        <w:t>advertir que de manera tácita le es aplicable a la misma, esto es así ya que la toma de decisiones que realice debe constar en acuerdos para su cumplimiento, lo cual se advierte en las facultades y obligaciones que le corresponden a la Coordinación Técnica, previstas en el artículo 19 del Reglamento Interior en el que se hace referencia a las obligaciones que tiene tanto para los acuerdos del Consejo Estatal como los de la Junta Ejecutiva.</w:t>
      </w:r>
    </w:p>
    <w:p w14:paraId="40D6EF4E" w14:textId="77777777" w:rsidR="00977DFA" w:rsidRPr="006F275E" w:rsidRDefault="00977DFA" w:rsidP="00977DFA">
      <w:pPr>
        <w:pStyle w:val="Ttulo2"/>
        <w:rPr>
          <w:rFonts w:ascii="Arial" w:hAnsi="Arial" w:cs="Arial"/>
          <w:color w:val="auto"/>
          <w:sz w:val="22"/>
          <w:szCs w:val="22"/>
        </w:rPr>
      </w:pPr>
      <w:r w:rsidRPr="006F275E">
        <w:rPr>
          <w:rFonts w:ascii="Arial" w:hAnsi="Arial" w:cs="Arial"/>
          <w:color w:val="auto"/>
          <w:sz w:val="22"/>
          <w:szCs w:val="22"/>
        </w:rPr>
        <w:t>Estructura organizacional del Instituto</w:t>
      </w:r>
    </w:p>
    <w:p w14:paraId="10A74952" w14:textId="77777777" w:rsidR="00977DFA" w:rsidRPr="006F275E" w:rsidRDefault="00977DFA" w:rsidP="00977DFA">
      <w:pPr>
        <w:rPr>
          <w:rFonts w:ascii="Arial" w:hAnsi="Arial" w:cs="Arial"/>
          <w:sz w:val="22"/>
          <w:szCs w:val="22"/>
        </w:rPr>
      </w:pPr>
      <w:r w:rsidRPr="006F275E">
        <w:rPr>
          <w:rFonts w:ascii="Arial" w:hAnsi="Arial" w:cs="Arial"/>
          <w:sz w:val="22"/>
          <w:szCs w:val="22"/>
        </w:rPr>
        <w:t>Que, a partir de la aprobación del Reglamento Interior, referida en los antecedentes, se determinó la estructura organizacional del Instituto, de la siguiente manera:</w:t>
      </w:r>
    </w:p>
    <w:p w14:paraId="7CB49B4A" w14:textId="77777777" w:rsidR="00977DFA" w:rsidRPr="006F275E" w:rsidRDefault="00977DFA" w:rsidP="00977DFA">
      <w:pPr>
        <w:pStyle w:val="Prrafodelista"/>
        <w:numPr>
          <w:ilvl w:val="0"/>
          <w:numId w:val="6"/>
        </w:numPr>
        <w:rPr>
          <w:rFonts w:ascii="Arial" w:hAnsi="Arial" w:cs="Arial"/>
          <w:b/>
          <w:bCs/>
          <w:sz w:val="22"/>
          <w:szCs w:val="22"/>
        </w:rPr>
      </w:pPr>
      <w:r w:rsidRPr="006F275E">
        <w:rPr>
          <w:rFonts w:ascii="Arial" w:hAnsi="Arial" w:cs="Arial"/>
          <w:b/>
          <w:bCs/>
          <w:sz w:val="22"/>
          <w:szCs w:val="22"/>
        </w:rPr>
        <w:t>Presidencia del Instituto</w:t>
      </w:r>
    </w:p>
    <w:p w14:paraId="37B6512E" w14:textId="77777777" w:rsidR="00977DFA" w:rsidRPr="006F275E" w:rsidRDefault="00977DFA" w:rsidP="00977DFA">
      <w:pPr>
        <w:pStyle w:val="Prrafodelista"/>
        <w:numPr>
          <w:ilvl w:val="1"/>
          <w:numId w:val="6"/>
        </w:numPr>
        <w:rPr>
          <w:rFonts w:ascii="Arial" w:hAnsi="Arial" w:cs="Arial"/>
          <w:sz w:val="22"/>
          <w:szCs w:val="22"/>
        </w:rPr>
      </w:pPr>
      <w:r w:rsidRPr="006F275E">
        <w:rPr>
          <w:rFonts w:ascii="Arial" w:hAnsi="Arial" w:cs="Arial"/>
          <w:sz w:val="22"/>
          <w:szCs w:val="22"/>
        </w:rPr>
        <w:t>Secretaría Particular;</w:t>
      </w:r>
    </w:p>
    <w:p w14:paraId="68552FBE" w14:textId="77777777" w:rsidR="00977DFA" w:rsidRPr="006F275E" w:rsidRDefault="00977DFA" w:rsidP="00977DFA">
      <w:pPr>
        <w:pStyle w:val="Prrafodelista"/>
        <w:numPr>
          <w:ilvl w:val="1"/>
          <w:numId w:val="6"/>
        </w:numPr>
        <w:rPr>
          <w:rFonts w:ascii="Arial" w:hAnsi="Arial" w:cs="Arial"/>
          <w:sz w:val="22"/>
          <w:szCs w:val="22"/>
        </w:rPr>
      </w:pPr>
      <w:r w:rsidRPr="006F275E">
        <w:rPr>
          <w:rFonts w:ascii="Arial" w:hAnsi="Arial" w:cs="Arial"/>
          <w:sz w:val="22"/>
          <w:szCs w:val="22"/>
        </w:rPr>
        <w:t>Coordinación de Asesores;</w:t>
      </w:r>
    </w:p>
    <w:p w14:paraId="27158AA7" w14:textId="77777777" w:rsidR="00977DFA" w:rsidRPr="006F275E" w:rsidRDefault="00977DFA" w:rsidP="00977DFA">
      <w:pPr>
        <w:pStyle w:val="Prrafodelista"/>
        <w:numPr>
          <w:ilvl w:val="1"/>
          <w:numId w:val="6"/>
        </w:numPr>
        <w:rPr>
          <w:rFonts w:ascii="Arial" w:hAnsi="Arial" w:cs="Arial"/>
          <w:sz w:val="22"/>
          <w:szCs w:val="22"/>
        </w:rPr>
      </w:pPr>
      <w:r w:rsidRPr="006F275E">
        <w:rPr>
          <w:rFonts w:ascii="Arial" w:hAnsi="Arial" w:cs="Arial"/>
          <w:sz w:val="22"/>
          <w:szCs w:val="22"/>
        </w:rPr>
        <w:t>Secretaría Técnica;</w:t>
      </w:r>
    </w:p>
    <w:p w14:paraId="00750176" w14:textId="77777777" w:rsidR="00977DFA" w:rsidRPr="006F275E" w:rsidRDefault="00977DFA" w:rsidP="00977DFA">
      <w:pPr>
        <w:pStyle w:val="Prrafodelista"/>
        <w:numPr>
          <w:ilvl w:val="1"/>
          <w:numId w:val="6"/>
        </w:numPr>
        <w:rPr>
          <w:rFonts w:ascii="Arial" w:hAnsi="Arial" w:cs="Arial"/>
          <w:sz w:val="22"/>
          <w:szCs w:val="22"/>
        </w:rPr>
      </w:pPr>
      <w:r w:rsidRPr="006F275E">
        <w:rPr>
          <w:rFonts w:ascii="Arial" w:hAnsi="Arial" w:cs="Arial"/>
          <w:sz w:val="22"/>
          <w:szCs w:val="22"/>
        </w:rPr>
        <w:t>Unidad de Igualdad de Género y No Discriminación</w:t>
      </w:r>
    </w:p>
    <w:p w14:paraId="23C5C8B6" w14:textId="77777777" w:rsidR="00977DFA" w:rsidRPr="006F275E" w:rsidRDefault="00977DFA" w:rsidP="00977DFA">
      <w:pPr>
        <w:pStyle w:val="Prrafodelista"/>
        <w:numPr>
          <w:ilvl w:val="1"/>
          <w:numId w:val="6"/>
        </w:numPr>
        <w:rPr>
          <w:rFonts w:ascii="Arial" w:hAnsi="Arial" w:cs="Arial"/>
          <w:sz w:val="22"/>
          <w:szCs w:val="22"/>
        </w:rPr>
      </w:pPr>
      <w:r w:rsidRPr="006F275E">
        <w:rPr>
          <w:rFonts w:ascii="Arial" w:hAnsi="Arial" w:cs="Arial"/>
          <w:sz w:val="22"/>
          <w:szCs w:val="22"/>
        </w:rPr>
        <w:t>Unidad de Comunicación Social;</w:t>
      </w:r>
    </w:p>
    <w:p w14:paraId="75B1B479" w14:textId="77777777" w:rsidR="00977DFA" w:rsidRPr="006F275E" w:rsidRDefault="00977DFA" w:rsidP="00977DFA">
      <w:pPr>
        <w:pStyle w:val="Prrafodelista"/>
        <w:numPr>
          <w:ilvl w:val="1"/>
          <w:numId w:val="6"/>
        </w:numPr>
        <w:rPr>
          <w:rFonts w:ascii="Arial" w:hAnsi="Arial" w:cs="Arial"/>
          <w:sz w:val="22"/>
          <w:szCs w:val="22"/>
        </w:rPr>
      </w:pPr>
      <w:r w:rsidRPr="006F275E">
        <w:rPr>
          <w:rFonts w:ascii="Arial" w:hAnsi="Arial" w:cs="Arial"/>
          <w:sz w:val="22"/>
          <w:szCs w:val="22"/>
        </w:rPr>
        <w:t>Unidad de Transparencia y Acceso a la Información Pública; y</w:t>
      </w:r>
    </w:p>
    <w:p w14:paraId="3D6580CD" w14:textId="77777777" w:rsidR="00977DFA" w:rsidRPr="006F275E" w:rsidRDefault="00977DFA" w:rsidP="00977DFA">
      <w:pPr>
        <w:pStyle w:val="Prrafodelista"/>
        <w:numPr>
          <w:ilvl w:val="1"/>
          <w:numId w:val="6"/>
        </w:numPr>
        <w:rPr>
          <w:rFonts w:ascii="Arial" w:hAnsi="Arial" w:cs="Arial"/>
          <w:sz w:val="22"/>
          <w:szCs w:val="22"/>
        </w:rPr>
      </w:pPr>
      <w:r w:rsidRPr="006F275E">
        <w:rPr>
          <w:rFonts w:ascii="Arial" w:hAnsi="Arial" w:cs="Arial"/>
          <w:sz w:val="22"/>
          <w:szCs w:val="22"/>
        </w:rPr>
        <w:t>Unidad de Logística.</w:t>
      </w:r>
    </w:p>
    <w:p w14:paraId="7A0B1DD9" w14:textId="77777777" w:rsidR="00977DFA" w:rsidRPr="006F275E" w:rsidRDefault="00977DFA" w:rsidP="00977DFA">
      <w:pPr>
        <w:pStyle w:val="Prrafodelista"/>
        <w:numPr>
          <w:ilvl w:val="0"/>
          <w:numId w:val="6"/>
        </w:numPr>
        <w:spacing w:before="480" w:after="0"/>
        <w:ind w:left="714" w:hanging="357"/>
        <w:contextualSpacing w:val="0"/>
        <w:rPr>
          <w:rFonts w:ascii="Arial" w:hAnsi="Arial" w:cs="Arial"/>
          <w:b/>
          <w:bCs/>
          <w:sz w:val="22"/>
          <w:szCs w:val="22"/>
        </w:rPr>
      </w:pPr>
      <w:r w:rsidRPr="006F275E">
        <w:rPr>
          <w:rFonts w:ascii="Arial" w:hAnsi="Arial" w:cs="Arial"/>
          <w:b/>
          <w:bCs/>
          <w:sz w:val="22"/>
          <w:szCs w:val="22"/>
        </w:rPr>
        <w:t>Órgano Técnico de Fiscalización</w:t>
      </w:r>
    </w:p>
    <w:p w14:paraId="178504D2" w14:textId="77777777" w:rsidR="00977DFA" w:rsidRPr="006F275E" w:rsidRDefault="00977DFA" w:rsidP="00977DFA">
      <w:pPr>
        <w:pStyle w:val="Prrafodelista"/>
        <w:numPr>
          <w:ilvl w:val="1"/>
          <w:numId w:val="6"/>
        </w:numPr>
        <w:rPr>
          <w:rFonts w:ascii="Arial" w:hAnsi="Arial" w:cs="Arial"/>
          <w:sz w:val="22"/>
          <w:szCs w:val="22"/>
        </w:rPr>
      </w:pPr>
      <w:r w:rsidRPr="006F275E">
        <w:rPr>
          <w:rFonts w:ascii="Arial" w:hAnsi="Arial" w:cs="Arial"/>
          <w:sz w:val="22"/>
          <w:szCs w:val="22"/>
        </w:rPr>
        <w:t xml:space="preserve">Coordinación de Normatividad, Archivo, Quejas y Denuncias en materia de fiscalización; y </w:t>
      </w:r>
    </w:p>
    <w:p w14:paraId="6516B0D9" w14:textId="77777777" w:rsidR="00977DFA" w:rsidRPr="006F275E" w:rsidRDefault="00977DFA" w:rsidP="00977DFA">
      <w:pPr>
        <w:pStyle w:val="Prrafodelista"/>
        <w:numPr>
          <w:ilvl w:val="1"/>
          <w:numId w:val="6"/>
        </w:numPr>
        <w:rPr>
          <w:rFonts w:ascii="Arial" w:hAnsi="Arial" w:cs="Arial"/>
          <w:sz w:val="22"/>
          <w:szCs w:val="22"/>
        </w:rPr>
      </w:pPr>
      <w:r w:rsidRPr="006F275E">
        <w:rPr>
          <w:rFonts w:ascii="Arial" w:hAnsi="Arial" w:cs="Arial"/>
          <w:sz w:val="22"/>
          <w:szCs w:val="22"/>
        </w:rPr>
        <w:t>Coordinación de Fiscalización, Auditoria, Multas y Sanciones.</w:t>
      </w:r>
    </w:p>
    <w:p w14:paraId="328B5664" w14:textId="77777777" w:rsidR="00977DFA" w:rsidRPr="006F275E" w:rsidRDefault="00977DFA" w:rsidP="00977DFA">
      <w:pPr>
        <w:pStyle w:val="Prrafodelista"/>
        <w:numPr>
          <w:ilvl w:val="0"/>
          <w:numId w:val="6"/>
        </w:numPr>
        <w:spacing w:before="480" w:after="0"/>
        <w:ind w:left="714" w:hanging="357"/>
        <w:contextualSpacing w:val="0"/>
        <w:rPr>
          <w:rFonts w:ascii="Arial" w:hAnsi="Arial" w:cs="Arial"/>
          <w:b/>
          <w:bCs/>
          <w:sz w:val="22"/>
          <w:szCs w:val="22"/>
        </w:rPr>
      </w:pPr>
      <w:r w:rsidRPr="006F275E">
        <w:rPr>
          <w:rFonts w:ascii="Arial" w:hAnsi="Arial" w:cs="Arial"/>
          <w:b/>
          <w:bCs/>
          <w:sz w:val="22"/>
          <w:szCs w:val="22"/>
        </w:rPr>
        <w:t>Secretaría Ejecutiva</w:t>
      </w:r>
    </w:p>
    <w:p w14:paraId="267E00D6" w14:textId="77777777" w:rsidR="00977DFA" w:rsidRPr="006F275E" w:rsidRDefault="00977DFA" w:rsidP="00977DFA">
      <w:pPr>
        <w:pStyle w:val="Prrafodelista"/>
        <w:numPr>
          <w:ilvl w:val="1"/>
          <w:numId w:val="6"/>
        </w:numPr>
        <w:rPr>
          <w:rFonts w:ascii="Arial" w:hAnsi="Arial" w:cs="Arial"/>
          <w:sz w:val="22"/>
          <w:szCs w:val="22"/>
        </w:rPr>
      </w:pPr>
      <w:r w:rsidRPr="006F275E">
        <w:rPr>
          <w:rFonts w:ascii="Arial" w:hAnsi="Arial" w:cs="Arial"/>
          <w:sz w:val="22"/>
          <w:szCs w:val="22"/>
        </w:rPr>
        <w:t>Secretaría Particular;</w:t>
      </w:r>
    </w:p>
    <w:p w14:paraId="4AF2E8A9" w14:textId="77777777" w:rsidR="00977DFA" w:rsidRPr="006F275E" w:rsidRDefault="00977DFA" w:rsidP="00977DFA">
      <w:pPr>
        <w:pStyle w:val="Prrafodelista"/>
        <w:numPr>
          <w:ilvl w:val="1"/>
          <w:numId w:val="6"/>
        </w:numPr>
        <w:rPr>
          <w:rFonts w:ascii="Arial" w:hAnsi="Arial" w:cs="Arial"/>
          <w:sz w:val="22"/>
          <w:szCs w:val="22"/>
        </w:rPr>
      </w:pPr>
      <w:r w:rsidRPr="006F275E">
        <w:rPr>
          <w:rFonts w:ascii="Arial" w:hAnsi="Arial" w:cs="Arial"/>
          <w:sz w:val="22"/>
          <w:szCs w:val="22"/>
        </w:rPr>
        <w:t>Coordinación Técnica;</w:t>
      </w:r>
    </w:p>
    <w:p w14:paraId="63D469D8" w14:textId="77777777" w:rsidR="00977DFA" w:rsidRPr="006F275E" w:rsidRDefault="00977DFA" w:rsidP="00977DFA">
      <w:pPr>
        <w:pStyle w:val="Prrafodelista"/>
        <w:numPr>
          <w:ilvl w:val="1"/>
          <w:numId w:val="6"/>
        </w:numPr>
        <w:rPr>
          <w:rFonts w:ascii="Arial" w:hAnsi="Arial" w:cs="Arial"/>
          <w:sz w:val="22"/>
          <w:szCs w:val="22"/>
        </w:rPr>
      </w:pPr>
      <w:r w:rsidRPr="006F275E">
        <w:rPr>
          <w:rFonts w:ascii="Arial" w:hAnsi="Arial" w:cs="Arial"/>
          <w:sz w:val="22"/>
          <w:szCs w:val="22"/>
        </w:rPr>
        <w:t>Coordinación de lo Contencioso Electoral;</w:t>
      </w:r>
    </w:p>
    <w:p w14:paraId="66ED6420" w14:textId="77777777" w:rsidR="00977DFA" w:rsidRPr="006F275E" w:rsidRDefault="00977DFA" w:rsidP="00977DFA">
      <w:pPr>
        <w:pStyle w:val="Prrafodelista"/>
        <w:numPr>
          <w:ilvl w:val="1"/>
          <w:numId w:val="6"/>
        </w:numPr>
        <w:rPr>
          <w:rFonts w:ascii="Arial" w:hAnsi="Arial" w:cs="Arial"/>
          <w:color w:val="000000" w:themeColor="text1"/>
          <w:sz w:val="22"/>
          <w:szCs w:val="22"/>
        </w:rPr>
      </w:pPr>
      <w:r w:rsidRPr="006F275E">
        <w:rPr>
          <w:rFonts w:ascii="Arial" w:hAnsi="Arial" w:cs="Arial"/>
          <w:color w:val="000000" w:themeColor="text1"/>
          <w:sz w:val="22"/>
          <w:szCs w:val="22"/>
        </w:rPr>
        <w:t>Coordinación de Oficialía Electoral;</w:t>
      </w:r>
    </w:p>
    <w:p w14:paraId="3C27059A" w14:textId="77777777" w:rsidR="00977DFA" w:rsidRPr="006F275E" w:rsidRDefault="00977DFA" w:rsidP="00977DFA">
      <w:pPr>
        <w:pStyle w:val="Prrafodelista"/>
        <w:numPr>
          <w:ilvl w:val="1"/>
          <w:numId w:val="6"/>
        </w:numPr>
        <w:rPr>
          <w:rFonts w:ascii="Arial" w:hAnsi="Arial" w:cs="Arial"/>
          <w:color w:val="000000" w:themeColor="text1"/>
          <w:sz w:val="22"/>
          <w:szCs w:val="22"/>
        </w:rPr>
      </w:pPr>
      <w:r w:rsidRPr="006F275E">
        <w:rPr>
          <w:rFonts w:ascii="Arial" w:hAnsi="Arial" w:cs="Arial"/>
          <w:color w:val="000000" w:themeColor="text1"/>
          <w:sz w:val="22"/>
          <w:szCs w:val="22"/>
        </w:rPr>
        <w:t>Coordinación de Vinculación con el INE;</w:t>
      </w:r>
    </w:p>
    <w:p w14:paraId="400EC6F4" w14:textId="77777777" w:rsidR="00977DFA" w:rsidRPr="006F275E" w:rsidRDefault="00977DFA" w:rsidP="00977DFA">
      <w:pPr>
        <w:pStyle w:val="Prrafodelista"/>
        <w:numPr>
          <w:ilvl w:val="1"/>
          <w:numId w:val="6"/>
        </w:numPr>
        <w:rPr>
          <w:rFonts w:ascii="Arial" w:hAnsi="Arial" w:cs="Arial"/>
          <w:color w:val="000000" w:themeColor="text1"/>
          <w:sz w:val="22"/>
          <w:szCs w:val="22"/>
        </w:rPr>
      </w:pPr>
      <w:r w:rsidRPr="006F275E">
        <w:rPr>
          <w:rFonts w:ascii="Arial" w:hAnsi="Arial" w:cs="Arial"/>
          <w:color w:val="000000" w:themeColor="text1"/>
          <w:sz w:val="22"/>
          <w:szCs w:val="22"/>
        </w:rPr>
        <w:t>Coordinación de Archivo;</w:t>
      </w:r>
    </w:p>
    <w:p w14:paraId="11F34899" w14:textId="77777777" w:rsidR="00977DFA" w:rsidRPr="006F275E" w:rsidRDefault="00977DFA" w:rsidP="00977DFA">
      <w:pPr>
        <w:pStyle w:val="Prrafodelista"/>
        <w:numPr>
          <w:ilvl w:val="1"/>
          <w:numId w:val="6"/>
        </w:numPr>
        <w:rPr>
          <w:rFonts w:ascii="Arial" w:hAnsi="Arial" w:cs="Arial"/>
          <w:color w:val="000000" w:themeColor="text1"/>
          <w:sz w:val="22"/>
          <w:szCs w:val="22"/>
        </w:rPr>
      </w:pPr>
      <w:r w:rsidRPr="006F275E">
        <w:rPr>
          <w:rFonts w:ascii="Arial" w:hAnsi="Arial" w:cs="Arial"/>
          <w:color w:val="000000" w:themeColor="text1"/>
          <w:sz w:val="22"/>
          <w:szCs w:val="22"/>
        </w:rPr>
        <w:t>Unidad de Planeación y Evaluación;</w:t>
      </w:r>
    </w:p>
    <w:p w14:paraId="3D34D3C6" w14:textId="77777777" w:rsidR="00977DFA" w:rsidRPr="006F275E" w:rsidRDefault="00977DFA" w:rsidP="00977DFA">
      <w:pPr>
        <w:pStyle w:val="Prrafodelista"/>
        <w:numPr>
          <w:ilvl w:val="1"/>
          <w:numId w:val="6"/>
        </w:numPr>
        <w:rPr>
          <w:rFonts w:ascii="Arial" w:hAnsi="Arial" w:cs="Arial"/>
          <w:color w:val="000000" w:themeColor="text1"/>
          <w:sz w:val="22"/>
          <w:szCs w:val="22"/>
        </w:rPr>
      </w:pPr>
      <w:r w:rsidRPr="006F275E">
        <w:rPr>
          <w:rFonts w:ascii="Arial" w:hAnsi="Arial" w:cs="Arial"/>
          <w:color w:val="000000" w:themeColor="text1"/>
          <w:sz w:val="22"/>
          <w:szCs w:val="22"/>
        </w:rPr>
        <w:t>Unidad de Tecnologías de la Información y Comunicación.</w:t>
      </w:r>
    </w:p>
    <w:p w14:paraId="2EAD23A1" w14:textId="77777777" w:rsidR="00977DFA" w:rsidRPr="006F275E" w:rsidRDefault="00977DFA" w:rsidP="00977DFA">
      <w:pPr>
        <w:pStyle w:val="Prrafodelista"/>
        <w:numPr>
          <w:ilvl w:val="0"/>
          <w:numId w:val="6"/>
        </w:numPr>
        <w:spacing w:before="480" w:after="0"/>
        <w:ind w:left="714" w:hanging="357"/>
        <w:contextualSpacing w:val="0"/>
        <w:rPr>
          <w:rFonts w:ascii="Arial" w:hAnsi="Arial" w:cs="Arial"/>
          <w:b/>
          <w:bCs/>
          <w:color w:val="000000" w:themeColor="text1"/>
          <w:sz w:val="22"/>
          <w:szCs w:val="22"/>
        </w:rPr>
      </w:pPr>
      <w:r w:rsidRPr="006F275E">
        <w:rPr>
          <w:rFonts w:ascii="Arial" w:hAnsi="Arial" w:cs="Arial"/>
          <w:b/>
          <w:bCs/>
          <w:color w:val="000000" w:themeColor="text1"/>
          <w:sz w:val="22"/>
          <w:szCs w:val="22"/>
        </w:rPr>
        <w:t>Dirección de Organización Electoral y Educación Cívica</w:t>
      </w:r>
    </w:p>
    <w:p w14:paraId="433CA304" w14:textId="77777777" w:rsidR="00977DFA" w:rsidRPr="006F275E" w:rsidRDefault="00977DFA" w:rsidP="00977DFA">
      <w:pPr>
        <w:pStyle w:val="Prrafodelista"/>
        <w:numPr>
          <w:ilvl w:val="1"/>
          <w:numId w:val="6"/>
        </w:numPr>
        <w:rPr>
          <w:rFonts w:ascii="Arial" w:hAnsi="Arial" w:cs="Arial"/>
          <w:color w:val="000000" w:themeColor="text1"/>
          <w:sz w:val="22"/>
          <w:szCs w:val="22"/>
        </w:rPr>
      </w:pPr>
      <w:r w:rsidRPr="006F275E">
        <w:rPr>
          <w:rFonts w:ascii="Arial" w:hAnsi="Arial" w:cs="Arial"/>
          <w:color w:val="000000" w:themeColor="text1"/>
          <w:sz w:val="22"/>
          <w:szCs w:val="22"/>
        </w:rPr>
        <w:t>Coordinación de Organización Electoral;</w:t>
      </w:r>
    </w:p>
    <w:p w14:paraId="0846ADE4" w14:textId="77777777" w:rsidR="00977DFA" w:rsidRPr="006F275E" w:rsidRDefault="00977DFA" w:rsidP="00977DFA">
      <w:pPr>
        <w:pStyle w:val="Prrafodelista"/>
        <w:numPr>
          <w:ilvl w:val="1"/>
          <w:numId w:val="6"/>
        </w:numPr>
        <w:rPr>
          <w:rFonts w:ascii="Arial" w:hAnsi="Arial" w:cs="Arial"/>
          <w:color w:val="000000" w:themeColor="text1"/>
          <w:sz w:val="22"/>
          <w:szCs w:val="22"/>
        </w:rPr>
      </w:pPr>
      <w:r w:rsidRPr="006F275E">
        <w:rPr>
          <w:rFonts w:ascii="Arial" w:hAnsi="Arial" w:cs="Arial"/>
          <w:color w:val="000000" w:themeColor="text1"/>
          <w:sz w:val="22"/>
          <w:szCs w:val="22"/>
        </w:rPr>
        <w:t>Coordinación de Educación Cívica;</w:t>
      </w:r>
    </w:p>
    <w:p w14:paraId="1A89CAB7" w14:textId="77777777" w:rsidR="00977DFA" w:rsidRPr="006F275E" w:rsidRDefault="00977DFA" w:rsidP="00977DFA">
      <w:pPr>
        <w:pStyle w:val="Prrafodelista"/>
        <w:numPr>
          <w:ilvl w:val="1"/>
          <w:numId w:val="6"/>
        </w:numPr>
        <w:rPr>
          <w:rFonts w:ascii="Arial" w:hAnsi="Arial" w:cs="Arial"/>
          <w:color w:val="000000" w:themeColor="text1"/>
          <w:sz w:val="22"/>
          <w:szCs w:val="22"/>
        </w:rPr>
      </w:pPr>
      <w:r w:rsidRPr="006F275E">
        <w:rPr>
          <w:rFonts w:ascii="Arial" w:hAnsi="Arial" w:cs="Arial"/>
          <w:color w:val="000000" w:themeColor="text1"/>
          <w:sz w:val="22"/>
          <w:szCs w:val="22"/>
        </w:rPr>
        <w:t xml:space="preserve">Coordinación de Participación Ciudadana; y </w:t>
      </w:r>
    </w:p>
    <w:p w14:paraId="33327B83" w14:textId="77777777" w:rsidR="00977DFA" w:rsidRPr="006F275E" w:rsidRDefault="00977DFA" w:rsidP="00977DFA">
      <w:pPr>
        <w:pStyle w:val="Prrafodelista"/>
        <w:numPr>
          <w:ilvl w:val="1"/>
          <w:numId w:val="6"/>
        </w:numPr>
        <w:rPr>
          <w:rFonts w:ascii="Arial" w:hAnsi="Arial" w:cs="Arial"/>
          <w:color w:val="000000" w:themeColor="text1"/>
          <w:sz w:val="22"/>
          <w:szCs w:val="22"/>
        </w:rPr>
      </w:pPr>
      <w:r w:rsidRPr="006F275E">
        <w:rPr>
          <w:rFonts w:ascii="Arial" w:hAnsi="Arial" w:cs="Arial"/>
          <w:color w:val="000000" w:themeColor="text1"/>
          <w:sz w:val="22"/>
          <w:szCs w:val="22"/>
        </w:rPr>
        <w:lastRenderedPageBreak/>
        <w:t>Coordinación de Prerrogativas y Partidos Políticos.</w:t>
      </w:r>
    </w:p>
    <w:p w14:paraId="32B930CD" w14:textId="77777777" w:rsidR="00977DFA" w:rsidRPr="006F275E" w:rsidRDefault="00977DFA" w:rsidP="00977DFA">
      <w:pPr>
        <w:pStyle w:val="Prrafodelista"/>
        <w:numPr>
          <w:ilvl w:val="0"/>
          <w:numId w:val="6"/>
        </w:numPr>
        <w:spacing w:before="480" w:after="0"/>
        <w:ind w:left="714" w:hanging="357"/>
        <w:contextualSpacing w:val="0"/>
        <w:rPr>
          <w:rFonts w:ascii="Arial" w:hAnsi="Arial" w:cs="Arial"/>
          <w:b/>
          <w:bCs/>
          <w:color w:val="000000" w:themeColor="text1"/>
          <w:sz w:val="22"/>
          <w:szCs w:val="22"/>
        </w:rPr>
      </w:pPr>
      <w:r w:rsidRPr="006F275E">
        <w:rPr>
          <w:rFonts w:ascii="Arial" w:hAnsi="Arial" w:cs="Arial"/>
          <w:b/>
          <w:bCs/>
          <w:color w:val="000000" w:themeColor="text1"/>
          <w:sz w:val="22"/>
          <w:szCs w:val="22"/>
        </w:rPr>
        <w:t>Dirección de Administración</w:t>
      </w:r>
    </w:p>
    <w:p w14:paraId="0591E4A5" w14:textId="77777777" w:rsidR="00977DFA" w:rsidRPr="006F275E" w:rsidRDefault="00977DFA" w:rsidP="00977DFA">
      <w:pPr>
        <w:pStyle w:val="Prrafodelista"/>
        <w:numPr>
          <w:ilvl w:val="1"/>
          <w:numId w:val="6"/>
        </w:numPr>
        <w:rPr>
          <w:rFonts w:ascii="Arial" w:hAnsi="Arial" w:cs="Arial"/>
          <w:color w:val="000000" w:themeColor="text1"/>
          <w:sz w:val="22"/>
          <w:szCs w:val="22"/>
        </w:rPr>
      </w:pPr>
      <w:r w:rsidRPr="006F275E">
        <w:rPr>
          <w:rFonts w:ascii="Arial" w:hAnsi="Arial" w:cs="Arial"/>
          <w:color w:val="000000" w:themeColor="text1"/>
          <w:sz w:val="22"/>
          <w:szCs w:val="22"/>
        </w:rPr>
        <w:t>Subdirección de Administración;</w:t>
      </w:r>
    </w:p>
    <w:p w14:paraId="48FD3BF2" w14:textId="77777777" w:rsidR="00977DFA" w:rsidRPr="006F275E" w:rsidRDefault="00977DFA" w:rsidP="00977DFA">
      <w:pPr>
        <w:pStyle w:val="Prrafodelista"/>
        <w:numPr>
          <w:ilvl w:val="1"/>
          <w:numId w:val="6"/>
        </w:numPr>
        <w:rPr>
          <w:rFonts w:ascii="Arial" w:hAnsi="Arial" w:cs="Arial"/>
          <w:color w:val="000000" w:themeColor="text1"/>
          <w:sz w:val="22"/>
          <w:szCs w:val="22"/>
        </w:rPr>
      </w:pPr>
      <w:r w:rsidRPr="006F275E">
        <w:rPr>
          <w:rFonts w:ascii="Arial" w:hAnsi="Arial" w:cs="Arial"/>
          <w:color w:val="000000" w:themeColor="text1"/>
          <w:sz w:val="22"/>
          <w:szCs w:val="22"/>
        </w:rPr>
        <w:t>Coordinación de Recursos Financieros;</w:t>
      </w:r>
    </w:p>
    <w:p w14:paraId="35F1A0FC" w14:textId="77777777" w:rsidR="00977DFA" w:rsidRPr="006F275E" w:rsidRDefault="00977DFA" w:rsidP="00977DFA">
      <w:pPr>
        <w:pStyle w:val="Prrafodelista"/>
        <w:numPr>
          <w:ilvl w:val="1"/>
          <w:numId w:val="6"/>
        </w:numPr>
        <w:rPr>
          <w:rFonts w:ascii="Arial" w:hAnsi="Arial" w:cs="Arial"/>
          <w:color w:val="000000" w:themeColor="text1"/>
          <w:sz w:val="22"/>
          <w:szCs w:val="22"/>
        </w:rPr>
      </w:pPr>
      <w:r w:rsidRPr="006F275E">
        <w:rPr>
          <w:rFonts w:ascii="Arial" w:hAnsi="Arial" w:cs="Arial"/>
          <w:color w:val="000000" w:themeColor="text1"/>
          <w:sz w:val="22"/>
          <w:szCs w:val="22"/>
        </w:rPr>
        <w:t>Coordinación de Recursos Humanos;</w:t>
      </w:r>
    </w:p>
    <w:p w14:paraId="11B9B6DF" w14:textId="77777777" w:rsidR="00977DFA" w:rsidRPr="006F275E" w:rsidRDefault="00977DFA" w:rsidP="00977DFA">
      <w:pPr>
        <w:pStyle w:val="Prrafodelista"/>
        <w:numPr>
          <w:ilvl w:val="1"/>
          <w:numId w:val="6"/>
        </w:numPr>
        <w:rPr>
          <w:rFonts w:ascii="Arial" w:hAnsi="Arial" w:cs="Arial"/>
          <w:color w:val="000000" w:themeColor="text1"/>
          <w:sz w:val="22"/>
          <w:szCs w:val="22"/>
        </w:rPr>
      </w:pPr>
      <w:r w:rsidRPr="006F275E">
        <w:rPr>
          <w:rFonts w:ascii="Arial" w:hAnsi="Arial" w:cs="Arial"/>
          <w:color w:val="000000" w:themeColor="text1"/>
          <w:sz w:val="22"/>
          <w:szCs w:val="22"/>
        </w:rPr>
        <w:t>Coordinación de Recursos Materiales;</w:t>
      </w:r>
    </w:p>
    <w:p w14:paraId="1CA93BE4" w14:textId="77777777" w:rsidR="00977DFA" w:rsidRPr="006F275E" w:rsidRDefault="00977DFA" w:rsidP="00977DFA">
      <w:pPr>
        <w:pStyle w:val="Prrafodelista"/>
        <w:numPr>
          <w:ilvl w:val="1"/>
          <w:numId w:val="6"/>
        </w:numPr>
        <w:rPr>
          <w:rFonts w:ascii="Arial" w:hAnsi="Arial" w:cs="Arial"/>
          <w:color w:val="000000" w:themeColor="text1"/>
          <w:sz w:val="22"/>
          <w:szCs w:val="22"/>
        </w:rPr>
      </w:pPr>
      <w:r w:rsidRPr="006F275E">
        <w:rPr>
          <w:rFonts w:ascii="Arial" w:hAnsi="Arial" w:cs="Arial"/>
          <w:color w:val="000000" w:themeColor="text1"/>
          <w:sz w:val="22"/>
          <w:szCs w:val="22"/>
        </w:rPr>
        <w:t>Coordinación de Servicios Generales; y</w:t>
      </w:r>
    </w:p>
    <w:p w14:paraId="236B5A1E" w14:textId="77777777" w:rsidR="00977DFA" w:rsidRPr="006F275E" w:rsidRDefault="00977DFA" w:rsidP="00977DFA">
      <w:pPr>
        <w:pStyle w:val="Prrafodelista"/>
        <w:numPr>
          <w:ilvl w:val="1"/>
          <w:numId w:val="6"/>
        </w:numPr>
        <w:rPr>
          <w:rFonts w:ascii="Arial" w:hAnsi="Arial" w:cs="Arial"/>
          <w:color w:val="000000" w:themeColor="text1"/>
          <w:sz w:val="22"/>
          <w:szCs w:val="22"/>
        </w:rPr>
      </w:pPr>
      <w:r w:rsidRPr="006F275E">
        <w:rPr>
          <w:rFonts w:ascii="Arial" w:hAnsi="Arial" w:cs="Arial"/>
          <w:color w:val="000000" w:themeColor="text1"/>
          <w:sz w:val="22"/>
          <w:szCs w:val="22"/>
        </w:rPr>
        <w:t>Coordinación de Almacén.</w:t>
      </w:r>
    </w:p>
    <w:p w14:paraId="686D04E4" w14:textId="77777777" w:rsidR="00977DFA" w:rsidRPr="006F275E" w:rsidRDefault="00977DFA" w:rsidP="00977DFA">
      <w:pPr>
        <w:pStyle w:val="Prrafodelista"/>
        <w:numPr>
          <w:ilvl w:val="0"/>
          <w:numId w:val="6"/>
        </w:numPr>
        <w:spacing w:before="480" w:after="0"/>
        <w:ind w:left="714" w:hanging="357"/>
        <w:contextualSpacing w:val="0"/>
        <w:rPr>
          <w:rFonts w:ascii="Arial" w:hAnsi="Arial" w:cs="Arial"/>
          <w:b/>
          <w:bCs/>
          <w:color w:val="000000" w:themeColor="text1"/>
          <w:sz w:val="22"/>
          <w:szCs w:val="22"/>
        </w:rPr>
      </w:pPr>
      <w:r w:rsidRPr="006F275E">
        <w:rPr>
          <w:rFonts w:ascii="Arial" w:hAnsi="Arial" w:cs="Arial"/>
          <w:b/>
          <w:bCs/>
          <w:color w:val="000000" w:themeColor="text1"/>
          <w:sz w:val="22"/>
          <w:szCs w:val="22"/>
        </w:rPr>
        <w:t>Dirección Jurídica</w:t>
      </w:r>
    </w:p>
    <w:p w14:paraId="3961906C" w14:textId="77777777" w:rsidR="00977DFA" w:rsidRPr="006F275E" w:rsidRDefault="00977DFA" w:rsidP="00977DFA">
      <w:pPr>
        <w:pStyle w:val="Prrafodelista"/>
        <w:numPr>
          <w:ilvl w:val="1"/>
          <w:numId w:val="6"/>
        </w:numPr>
        <w:rPr>
          <w:rFonts w:ascii="Arial" w:hAnsi="Arial" w:cs="Arial"/>
          <w:color w:val="000000" w:themeColor="text1"/>
          <w:sz w:val="22"/>
          <w:szCs w:val="22"/>
        </w:rPr>
      </w:pPr>
      <w:r w:rsidRPr="006F275E">
        <w:rPr>
          <w:rFonts w:ascii="Arial" w:hAnsi="Arial" w:cs="Arial"/>
          <w:color w:val="000000" w:themeColor="text1"/>
          <w:sz w:val="22"/>
          <w:szCs w:val="22"/>
        </w:rPr>
        <w:t>Coordinación Jurídica</w:t>
      </w:r>
    </w:p>
    <w:p w14:paraId="6EEE40CB" w14:textId="77777777" w:rsidR="00977DFA" w:rsidRPr="006F275E" w:rsidRDefault="00977DFA" w:rsidP="00977DFA">
      <w:pPr>
        <w:rPr>
          <w:color w:val="000000" w:themeColor="text1"/>
          <w:sz w:val="22"/>
          <w:szCs w:val="22"/>
        </w:rPr>
      </w:pPr>
      <w:r w:rsidRPr="006F275E">
        <w:rPr>
          <w:rFonts w:ascii="Arial" w:hAnsi="Arial" w:cs="Arial"/>
          <w:color w:val="000000" w:themeColor="text1"/>
          <w:sz w:val="22"/>
          <w:szCs w:val="22"/>
        </w:rPr>
        <w:t>Cabe mencionar que, la Coordinación de lo Contencioso Electoral, de Vinculación con el INE y la totalidad de las Coordinaciones adscritas a la Dirección de Organización Electoral y Educación Cívica forman parte del Servicio Profesional Electoral Nacional, por lo que, su designación está sujeta a las reglas y criterios que al efecto emita el INE. Asimismo, las unidades administrativas señaladas cuentan con personal técnico para el desarrollo de sus funciones y actividades.</w:t>
      </w:r>
    </w:p>
    <w:p w14:paraId="4538A97A" w14:textId="77777777" w:rsidR="00977DFA" w:rsidRPr="006F275E" w:rsidRDefault="00977DFA" w:rsidP="00977DFA">
      <w:pPr>
        <w:pStyle w:val="Ttulo2"/>
        <w:rPr>
          <w:rFonts w:ascii="Arial" w:hAnsi="Arial" w:cs="Arial"/>
          <w:color w:val="000000" w:themeColor="text1"/>
          <w:sz w:val="22"/>
          <w:szCs w:val="22"/>
        </w:rPr>
      </w:pPr>
      <w:r w:rsidRPr="006F275E">
        <w:rPr>
          <w:rFonts w:ascii="Arial" w:hAnsi="Arial" w:cs="Arial"/>
          <w:color w:val="000000" w:themeColor="text1"/>
          <w:sz w:val="22"/>
          <w:szCs w:val="22"/>
        </w:rPr>
        <w:t xml:space="preserve">Designación del servidor público </w:t>
      </w:r>
    </w:p>
    <w:p w14:paraId="29CA7F5E" w14:textId="77777777" w:rsidR="00977DFA" w:rsidRPr="006F275E" w:rsidRDefault="00977DFA" w:rsidP="00977DFA">
      <w:pPr>
        <w:rPr>
          <w:rFonts w:ascii="Arial" w:hAnsi="Arial" w:cs="Arial"/>
          <w:color w:val="000000" w:themeColor="text1"/>
          <w:sz w:val="22"/>
          <w:szCs w:val="22"/>
        </w:rPr>
      </w:pPr>
      <w:r w:rsidRPr="006F275E">
        <w:rPr>
          <w:rFonts w:ascii="Arial" w:hAnsi="Arial" w:cs="Arial"/>
          <w:color w:val="000000" w:themeColor="text1"/>
          <w:sz w:val="22"/>
          <w:szCs w:val="22"/>
        </w:rPr>
        <w:t>En virtud de la vacante originada en la Secretaría Ejecutiva, resulta necesaria la designación de la persona que ocupará por tiempo indeterminado dicha categoría.</w:t>
      </w:r>
    </w:p>
    <w:p w14:paraId="58850F04" w14:textId="77777777" w:rsidR="00977DFA" w:rsidRPr="006F275E" w:rsidRDefault="00977DFA" w:rsidP="00977DFA">
      <w:pPr>
        <w:rPr>
          <w:rFonts w:ascii="Arial" w:hAnsi="Arial" w:cs="Arial"/>
          <w:color w:val="000000" w:themeColor="text1"/>
          <w:sz w:val="22"/>
          <w:szCs w:val="22"/>
        </w:rPr>
      </w:pPr>
      <w:r w:rsidRPr="006F275E">
        <w:rPr>
          <w:rFonts w:ascii="Arial" w:hAnsi="Arial" w:cs="Arial"/>
          <w:color w:val="000000" w:themeColor="text1"/>
          <w:sz w:val="22"/>
          <w:szCs w:val="22"/>
        </w:rPr>
        <w:t>En mérito de lo anterior, el titular de la Secretaría Ejecutiva propuso a la siguiente persona:</w:t>
      </w:r>
    </w:p>
    <w:tbl>
      <w:tblPr>
        <w:tblStyle w:val="Tablaconcuadrcula"/>
        <w:tblW w:w="0" w:type="auto"/>
        <w:tblLook w:val="04A0" w:firstRow="1" w:lastRow="0" w:firstColumn="1" w:lastColumn="0" w:noHBand="0" w:noVBand="1"/>
      </w:tblPr>
      <w:tblGrid>
        <w:gridCol w:w="3569"/>
        <w:gridCol w:w="2518"/>
        <w:gridCol w:w="2550"/>
      </w:tblGrid>
      <w:tr w:rsidR="00977DFA" w:rsidRPr="00CC67E2" w14:paraId="267003B2" w14:textId="77777777" w:rsidTr="0053244E">
        <w:tc>
          <w:tcPr>
            <w:tcW w:w="3569" w:type="dxa"/>
            <w:shd w:val="clear" w:color="auto" w:fill="993366"/>
            <w:vAlign w:val="center"/>
          </w:tcPr>
          <w:p w14:paraId="039DEC71" w14:textId="77777777" w:rsidR="00977DFA" w:rsidRPr="0078771A" w:rsidRDefault="00977DFA" w:rsidP="0053244E">
            <w:pPr>
              <w:spacing w:before="40" w:after="40"/>
              <w:jc w:val="center"/>
              <w:rPr>
                <w:rFonts w:ascii="Arial" w:hAnsi="Arial" w:cs="Arial"/>
                <w:b/>
                <w:color w:val="FFFFFF" w:themeColor="background1"/>
                <w:sz w:val="20"/>
              </w:rPr>
            </w:pPr>
            <w:r w:rsidRPr="0078771A">
              <w:rPr>
                <w:rFonts w:ascii="Arial" w:hAnsi="Arial" w:cs="Arial"/>
                <w:b/>
                <w:color w:val="FFFFFF" w:themeColor="background1"/>
                <w:sz w:val="20"/>
              </w:rPr>
              <w:t>Nombre</w:t>
            </w:r>
          </w:p>
        </w:tc>
        <w:tc>
          <w:tcPr>
            <w:tcW w:w="2518" w:type="dxa"/>
            <w:shd w:val="clear" w:color="auto" w:fill="993366"/>
            <w:vAlign w:val="center"/>
          </w:tcPr>
          <w:p w14:paraId="5C845250" w14:textId="77777777" w:rsidR="00977DFA" w:rsidRPr="0078771A" w:rsidRDefault="00977DFA" w:rsidP="0053244E">
            <w:pPr>
              <w:spacing w:before="40" w:after="40"/>
              <w:jc w:val="center"/>
              <w:rPr>
                <w:rFonts w:ascii="Arial" w:hAnsi="Arial" w:cs="Arial"/>
                <w:b/>
                <w:color w:val="FFFFFF" w:themeColor="background1"/>
                <w:sz w:val="20"/>
              </w:rPr>
            </w:pPr>
            <w:r w:rsidRPr="0078771A">
              <w:rPr>
                <w:rFonts w:ascii="Arial" w:hAnsi="Arial" w:cs="Arial"/>
                <w:b/>
                <w:color w:val="FFFFFF" w:themeColor="background1"/>
                <w:sz w:val="20"/>
              </w:rPr>
              <w:t>Cargo/Categoría</w:t>
            </w:r>
          </w:p>
        </w:tc>
        <w:tc>
          <w:tcPr>
            <w:tcW w:w="2550" w:type="dxa"/>
            <w:shd w:val="clear" w:color="auto" w:fill="993366"/>
            <w:vAlign w:val="center"/>
          </w:tcPr>
          <w:p w14:paraId="5B56A7CB" w14:textId="77777777" w:rsidR="00977DFA" w:rsidRPr="0078771A" w:rsidRDefault="00977DFA" w:rsidP="0053244E">
            <w:pPr>
              <w:spacing w:before="40" w:after="40"/>
              <w:jc w:val="center"/>
              <w:rPr>
                <w:rFonts w:ascii="Arial" w:hAnsi="Arial" w:cs="Arial"/>
                <w:b/>
                <w:color w:val="FFFFFF" w:themeColor="background1"/>
                <w:sz w:val="20"/>
              </w:rPr>
            </w:pPr>
            <w:r w:rsidRPr="0078771A">
              <w:rPr>
                <w:rFonts w:ascii="Arial" w:hAnsi="Arial" w:cs="Arial"/>
                <w:b/>
                <w:color w:val="FFFFFF" w:themeColor="background1"/>
                <w:sz w:val="20"/>
              </w:rPr>
              <w:t>Adscripción</w:t>
            </w:r>
          </w:p>
        </w:tc>
      </w:tr>
      <w:tr w:rsidR="00977DFA" w:rsidRPr="00CC67E2" w14:paraId="137A9A55" w14:textId="77777777" w:rsidTr="0053244E">
        <w:tc>
          <w:tcPr>
            <w:tcW w:w="3569" w:type="dxa"/>
            <w:vAlign w:val="center"/>
          </w:tcPr>
          <w:p w14:paraId="324A7B30" w14:textId="77777777" w:rsidR="00977DFA" w:rsidRPr="00CC67E2" w:rsidRDefault="00977DFA" w:rsidP="0053244E">
            <w:pPr>
              <w:spacing w:before="40" w:after="40"/>
              <w:rPr>
                <w:rFonts w:ascii="Arial" w:hAnsi="Arial" w:cs="Arial"/>
                <w:color w:val="000000" w:themeColor="text1"/>
                <w:sz w:val="20"/>
              </w:rPr>
            </w:pPr>
            <w:r w:rsidRPr="00CC67E2">
              <w:rPr>
                <w:rFonts w:ascii="Arial" w:hAnsi="Arial" w:cs="Arial"/>
                <w:color w:val="000000" w:themeColor="text1"/>
                <w:sz w:val="20"/>
              </w:rPr>
              <w:t>Germán Rafael Barahona Pérez</w:t>
            </w:r>
          </w:p>
        </w:tc>
        <w:tc>
          <w:tcPr>
            <w:tcW w:w="2518" w:type="dxa"/>
            <w:vAlign w:val="center"/>
          </w:tcPr>
          <w:p w14:paraId="6E64AAC4" w14:textId="77777777" w:rsidR="00977DFA" w:rsidRPr="00CC67E2" w:rsidRDefault="00977DFA" w:rsidP="0053244E">
            <w:pPr>
              <w:spacing w:before="40" w:after="40"/>
              <w:rPr>
                <w:rFonts w:ascii="Arial" w:hAnsi="Arial" w:cs="Arial"/>
                <w:color w:val="000000" w:themeColor="text1"/>
                <w:sz w:val="20"/>
              </w:rPr>
            </w:pPr>
            <w:r w:rsidRPr="00CC67E2">
              <w:rPr>
                <w:rFonts w:ascii="Arial" w:hAnsi="Arial" w:cs="Arial"/>
                <w:color w:val="000000" w:themeColor="text1"/>
                <w:sz w:val="20"/>
              </w:rPr>
              <w:t>Técnico</w:t>
            </w:r>
          </w:p>
        </w:tc>
        <w:tc>
          <w:tcPr>
            <w:tcW w:w="2550" w:type="dxa"/>
            <w:vAlign w:val="center"/>
          </w:tcPr>
          <w:p w14:paraId="26F8023D" w14:textId="77777777" w:rsidR="00977DFA" w:rsidRPr="00CC67E2" w:rsidRDefault="00977DFA" w:rsidP="0053244E">
            <w:pPr>
              <w:spacing w:before="40" w:after="40"/>
              <w:rPr>
                <w:rFonts w:ascii="Arial" w:hAnsi="Arial" w:cs="Arial"/>
                <w:color w:val="000000" w:themeColor="text1"/>
                <w:sz w:val="20"/>
              </w:rPr>
            </w:pPr>
            <w:r w:rsidRPr="00CC67E2">
              <w:rPr>
                <w:rFonts w:ascii="Arial" w:hAnsi="Arial" w:cs="Arial"/>
                <w:color w:val="000000" w:themeColor="text1"/>
                <w:sz w:val="20"/>
              </w:rPr>
              <w:t>Secretaría Ejecutiva</w:t>
            </w:r>
          </w:p>
        </w:tc>
      </w:tr>
    </w:tbl>
    <w:p w14:paraId="617F5CE2" w14:textId="77777777" w:rsidR="00977DFA" w:rsidRPr="006F275E" w:rsidRDefault="00977DFA" w:rsidP="00977DFA">
      <w:pPr>
        <w:rPr>
          <w:rFonts w:ascii="Arial" w:hAnsi="Arial" w:cs="Arial"/>
          <w:color w:val="000000" w:themeColor="text1"/>
          <w:sz w:val="22"/>
          <w:szCs w:val="22"/>
        </w:rPr>
      </w:pPr>
      <w:r w:rsidRPr="006F275E">
        <w:rPr>
          <w:rFonts w:ascii="Arial" w:hAnsi="Arial" w:cs="Arial"/>
          <w:color w:val="000000" w:themeColor="text1"/>
          <w:sz w:val="22"/>
          <w:szCs w:val="22"/>
        </w:rPr>
        <w:t>De la revisión a la documentación presentada por el interesado, este órgano central considera que la persona propuesta cumple con los requisitos previstos en el artículo 110 de los Estatutos del Servicio Profesional Electoral del propio Instituto, acreditando que, es ciudadano mexicano, está en pleno ejercicio de sus derechos civiles y políticos; goza de prestigio y/o buena fama pública; cuenta con los conocimientos, experiencias y habilidades requeridas para ingresar al Instituto; tiene la escolaridad mínima requerida; y no está inhabilitada para ocupar cargo o puesto público.</w:t>
      </w:r>
    </w:p>
    <w:p w14:paraId="6E1B382B" w14:textId="77777777" w:rsidR="00977DFA" w:rsidRPr="006F275E" w:rsidRDefault="00977DFA" w:rsidP="00977DFA">
      <w:pPr>
        <w:rPr>
          <w:rFonts w:ascii="Arial" w:hAnsi="Arial" w:cs="Arial"/>
          <w:color w:val="000000" w:themeColor="text1"/>
          <w:sz w:val="22"/>
          <w:szCs w:val="22"/>
        </w:rPr>
      </w:pPr>
      <w:r w:rsidRPr="006F275E">
        <w:rPr>
          <w:rFonts w:ascii="Arial" w:hAnsi="Arial" w:cs="Arial"/>
          <w:color w:val="000000" w:themeColor="text1"/>
          <w:sz w:val="22"/>
          <w:szCs w:val="22"/>
        </w:rPr>
        <w:lastRenderedPageBreak/>
        <w:t>Cabe mencionar, que la propuesta anterior es a invitación del titular de la Secretaría Ejecutiva, por lo que, no está sujeta a examen de ingreso.</w:t>
      </w:r>
    </w:p>
    <w:p w14:paraId="2546C34E" w14:textId="77777777" w:rsidR="00977DFA" w:rsidRPr="006F275E" w:rsidRDefault="00977DFA" w:rsidP="00977DFA">
      <w:pPr>
        <w:rPr>
          <w:rFonts w:ascii="Arial" w:hAnsi="Arial" w:cs="Arial"/>
          <w:color w:val="000000" w:themeColor="text1"/>
          <w:sz w:val="22"/>
          <w:szCs w:val="22"/>
        </w:rPr>
      </w:pPr>
      <w:r w:rsidRPr="006F275E">
        <w:rPr>
          <w:rFonts w:ascii="Arial" w:hAnsi="Arial" w:cs="Arial"/>
          <w:color w:val="000000" w:themeColor="text1"/>
          <w:sz w:val="22"/>
          <w:szCs w:val="22"/>
        </w:rPr>
        <w:t>En ese contexto, este órgano central, de conformidad con el artículo 16, fracción VI del Reglamento Interior, designa al ciudadano mencionado con la categoría descrita por tiempo indeterminado con efectos a partir del 1 de septiembre de 2025.</w:t>
      </w:r>
    </w:p>
    <w:p w14:paraId="26BF6094" w14:textId="77777777" w:rsidR="00977DFA" w:rsidRPr="006F275E" w:rsidRDefault="00977DFA" w:rsidP="00977DFA">
      <w:pPr>
        <w:rPr>
          <w:rFonts w:ascii="Arial" w:hAnsi="Arial" w:cs="Arial"/>
          <w:color w:val="000000" w:themeColor="text1"/>
          <w:sz w:val="22"/>
          <w:szCs w:val="22"/>
        </w:rPr>
      </w:pPr>
      <w:r w:rsidRPr="006F275E">
        <w:rPr>
          <w:rFonts w:ascii="Arial" w:hAnsi="Arial" w:cs="Arial"/>
          <w:color w:val="000000" w:themeColor="text1"/>
          <w:sz w:val="22"/>
          <w:szCs w:val="22"/>
        </w:rPr>
        <w:t>Sobre la base de las consideraciones señaladas, esta Junta Ejecutiva emite el siguiente:</w:t>
      </w:r>
    </w:p>
    <w:p w14:paraId="16E8CE0F" w14:textId="77777777" w:rsidR="00977DFA" w:rsidRPr="007E2311" w:rsidRDefault="00977DFA" w:rsidP="00977DFA">
      <w:pPr>
        <w:pStyle w:val="Ttulo1"/>
        <w:ind w:left="431" w:hanging="431"/>
        <w:rPr>
          <w:rFonts w:ascii="Arial" w:hAnsi="Arial" w:cs="Arial"/>
          <w:color w:val="000000" w:themeColor="text1"/>
          <w:sz w:val="24"/>
          <w:szCs w:val="24"/>
        </w:rPr>
      </w:pPr>
      <w:r w:rsidRPr="007E2311">
        <w:rPr>
          <w:rFonts w:ascii="Arial" w:hAnsi="Arial" w:cs="Arial"/>
          <w:color w:val="000000" w:themeColor="text1"/>
          <w:sz w:val="24"/>
          <w:szCs w:val="24"/>
        </w:rPr>
        <w:t>Acuerdo</w:t>
      </w:r>
    </w:p>
    <w:p w14:paraId="7C35C314" w14:textId="77777777" w:rsidR="00977DFA" w:rsidRPr="00C22BFE" w:rsidRDefault="00977DFA" w:rsidP="00977DFA">
      <w:pPr>
        <w:rPr>
          <w:rFonts w:ascii="Arial" w:hAnsi="Arial" w:cs="Arial"/>
          <w:color w:val="000000" w:themeColor="text1"/>
          <w:sz w:val="22"/>
          <w:szCs w:val="22"/>
        </w:rPr>
      </w:pPr>
      <w:r w:rsidRPr="00C22BFE">
        <w:rPr>
          <w:rFonts w:ascii="Arial" w:hAnsi="Arial" w:cs="Arial"/>
          <w:b/>
          <w:color w:val="000000" w:themeColor="text1"/>
          <w:sz w:val="22"/>
          <w:szCs w:val="22"/>
        </w:rPr>
        <w:t xml:space="preserve">Primero. </w:t>
      </w:r>
      <w:r w:rsidRPr="00C22BFE">
        <w:rPr>
          <w:rFonts w:ascii="Arial" w:hAnsi="Arial" w:cs="Arial"/>
          <w:color w:val="000000" w:themeColor="text1"/>
          <w:sz w:val="22"/>
          <w:szCs w:val="22"/>
        </w:rPr>
        <w:t>En términos del artículo 16, fracción VI del Reglamento Interior del Instituto Electoral y de Participación Ciudadana de Tabasco se designa como persona servidora pública del Instituto, con efectos a partir del 1 de septiembre de 2025, con la categoría señalada por tiempo indeterminado, a:</w:t>
      </w:r>
    </w:p>
    <w:tbl>
      <w:tblPr>
        <w:tblStyle w:val="Tablaconcuadrcula"/>
        <w:tblW w:w="0" w:type="auto"/>
        <w:tblLook w:val="04A0" w:firstRow="1" w:lastRow="0" w:firstColumn="1" w:lastColumn="0" w:noHBand="0" w:noVBand="1"/>
      </w:tblPr>
      <w:tblGrid>
        <w:gridCol w:w="3572"/>
        <w:gridCol w:w="2511"/>
        <w:gridCol w:w="2554"/>
      </w:tblGrid>
      <w:tr w:rsidR="00977DFA" w:rsidRPr="007E2311" w14:paraId="73331467" w14:textId="77777777" w:rsidTr="0053244E">
        <w:tc>
          <w:tcPr>
            <w:tcW w:w="3572" w:type="dxa"/>
            <w:shd w:val="clear" w:color="auto" w:fill="993366"/>
            <w:vAlign w:val="center"/>
          </w:tcPr>
          <w:p w14:paraId="3589C7DC" w14:textId="77777777" w:rsidR="00977DFA" w:rsidRPr="0078771A" w:rsidRDefault="00977DFA" w:rsidP="0053244E">
            <w:pPr>
              <w:spacing w:before="40" w:after="40"/>
              <w:jc w:val="center"/>
              <w:rPr>
                <w:rFonts w:ascii="Arial" w:hAnsi="Arial" w:cs="Arial"/>
                <w:b/>
                <w:color w:val="FFFFFF" w:themeColor="background1"/>
                <w:sz w:val="18"/>
              </w:rPr>
            </w:pPr>
            <w:r w:rsidRPr="0078771A">
              <w:rPr>
                <w:rFonts w:ascii="Arial" w:hAnsi="Arial" w:cs="Arial"/>
                <w:b/>
                <w:color w:val="FFFFFF" w:themeColor="background1"/>
                <w:sz w:val="18"/>
              </w:rPr>
              <w:t>Nombre</w:t>
            </w:r>
          </w:p>
        </w:tc>
        <w:tc>
          <w:tcPr>
            <w:tcW w:w="2511" w:type="dxa"/>
            <w:shd w:val="clear" w:color="auto" w:fill="993366"/>
            <w:vAlign w:val="center"/>
          </w:tcPr>
          <w:p w14:paraId="01C5047D" w14:textId="77777777" w:rsidR="00977DFA" w:rsidRPr="0078771A" w:rsidRDefault="00977DFA" w:rsidP="0053244E">
            <w:pPr>
              <w:spacing w:before="40" w:after="40"/>
              <w:jc w:val="center"/>
              <w:rPr>
                <w:rFonts w:ascii="Arial" w:hAnsi="Arial" w:cs="Arial"/>
                <w:b/>
                <w:color w:val="FFFFFF" w:themeColor="background1"/>
                <w:sz w:val="18"/>
              </w:rPr>
            </w:pPr>
            <w:r w:rsidRPr="0078771A">
              <w:rPr>
                <w:rFonts w:ascii="Arial" w:hAnsi="Arial" w:cs="Arial"/>
                <w:b/>
                <w:color w:val="FFFFFF" w:themeColor="background1"/>
                <w:sz w:val="18"/>
              </w:rPr>
              <w:t>Cargo/Categoría</w:t>
            </w:r>
          </w:p>
        </w:tc>
        <w:tc>
          <w:tcPr>
            <w:tcW w:w="2554" w:type="dxa"/>
            <w:shd w:val="clear" w:color="auto" w:fill="993366"/>
            <w:vAlign w:val="center"/>
          </w:tcPr>
          <w:p w14:paraId="7E49E069" w14:textId="77777777" w:rsidR="00977DFA" w:rsidRPr="0078771A" w:rsidRDefault="00977DFA" w:rsidP="0053244E">
            <w:pPr>
              <w:spacing w:before="40" w:after="40"/>
              <w:jc w:val="center"/>
              <w:rPr>
                <w:rFonts w:ascii="Arial" w:hAnsi="Arial" w:cs="Arial"/>
                <w:b/>
                <w:color w:val="FFFFFF" w:themeColor="background1"/>
                <w:sz w:val="18"/>
              </w:rPr>
            </w:pPr>
            <w:r w:rsidRPr="0078771A">
              <w:rPr>
                <w:rFonts w:ascii="Arial" w:hAnsi="Arial" w:cs="Arial"/>
                <w:b/>
                <w:color w:val="FFFFFF" w:themeColor="background1"/>
                <w:sz w:val="18"/>
              </w:rPr>
              <w:t>Adscripción</w:t>
            </w:r>
          </w:p>
        </w:tc>
      </w:tr>
      <w:tr w:rsidR="00977DFA" w:rsidRPr="007E2311" w14:paraId="7147AD62" w14:textId="77777777" w:rsidTr="0053244E">
        <w:tc>
          <w:tcPr>
            <w:tcW w:w="3572" w:type="dxa"/>
            <w:vAlign w:val="center"/>
          </w:tcPr>
          <w:p w14:paraId="09A2B8B8" w14:textId="77777777" w:rsidR="00977DFA" w:rsidRPr="007E2311" w:rsidRDefault="00977DFA" w:rsidP="0053244E">
            <w:pPr>
              <w:spacing w:before="40" w:after="40"/>
              <w:rPr>
                <w:rFonts w:ascii="Arial" w:hAnsi="Arial" w:cs="Arial"/>
                <w:b/>
                <w:color w:val="000000" w:themeColor="text1"/>
                <w:sz w:val="20"/>
              </w:rPr>
            </w:pPr>
            <w:r w:rsidRPr="007E2311">
              <w:rPr>
                <w:rFonts w:ascii="Arial" w:hAnsi="Arial" w:cs="Arial"/>
                <w:b/>
                <w:color w:val="000000" w:themeColor="text1"/>
                <w:sz w:val="20"/>
              </w:rPr>
              <w:t>Germán Rafael</w:t>
            </w:r>
            <w:bookmarkStart w:id="0" w:name="_GoBack"/>
            <w:bookmarkEnd w:id="0"/>
            <w:r w:rsidRPr="007E2311">
              <w:rPr>
                <w:rFonts w:ascii="Arial" w:hAnsi="Arial" w:cs="Arial"/>
                <w:b/>
                <w:color w:val="000000" w:themeColor="text1"/>
                <w:sz w:val="20"/>
              </w:rPr>
              <w:t xml:space="preserve"> Barahona Pérez</w:t>
            </w:r>
          </w:p>
        </w:tc>
        <w:tc>
          <w:tcPr>
            <w:tcW w:w="2511" w:type="dxa"/>
            <w:vAlign w:val="center"/>
          </w:tcPr>
          <w:p w14:paraId="429523B7" w14:textId="77777777" w:rsidR="00977DFA" w:rsidRPr="007E2311" w:rsidRDefault="00977DFA" w:rsidP="0053244E">
            <w:pPr>
              <w:spacing w:before="40" w:after="40"/>
              <w:rPr>
                <w:rFonts w:ascii="Arial" w:hAnsi="Arial" w:cs="Arial"/>
                <w:b/>
                <w:color w:val="000000" w:themeColor="text1"/>
                <w:sz w:val="20"/>
              </w:rPr>
            </w:pPr>
            <w:r w:rsidRPr="007E2311">
              <w:rPr>
                <w:rFonts w:ascii="Arial" w:hAnsi="Arial" w:cs="Arial"/>
                <w:b/>
                <w:color w:val="000000" w:themeColor="text1"/>
                <w:sz w:val="20"/>
              </w:rPr>
              <w:t>Técnico</w:t>
            </w:r>
          </w:p>
        </w:tc>
        <w:tc>
          <w:tcPr>
            <w:tcW w:w="2554" w:type="dxa"/>
            <w:vAlign w:val="center"/>
          </w:tcPr>
          <w:p w14:paraId="6E87F826" w14:textId="77777777" w:rsidR="00977DFA" w:rsidRPr="007E2311" w:rsidRDefault="00977DFA" w:rsidP="0053244E">
            <w:pPr>
              <w:spacing w:before="40" w:after="40"/>
              <w:rPr>
                <w:rFonts w:ascii="Arial" w:hAnsi="Arial" w:cs="Arial"/>
                <w:b/>
                <w:color w:val="000000" w:themeColor="text1"/>
                <w:sz w:val="20"/>
              </w:rPr>
            </w:pPr>
            <w:r w:rsidRPr="007E2311">
              <w:rPr>
                <w:rFonts w:ascii="Arial" w:hAnsi="Arial" w:cs="Arial"/>
                <w:b/>
                <w:color w:val="000000" w:themeColor="text1"/>
                <w:sz w:val="20"/>
              </w:rPr>
              <w:t>Secretaría Ejecutiva</w:t>
            </w:r>
          </w:p>
        </w:tc>
      </w:tr>
    </w:tbl>
    <w:p w14:paraId="65D371E0" w14:textId="77777777" w:rsidR="00977DFA" w:rsidRPr="00C22BFE" w:rsidRDefault="00977DFA" w:rsidP="00977DFA">
      <w:pPr>
        <w:rPr>
          <w:rFonts w:ascii="Arial" w:hAnsi="Arial" w:cs="Arial"/>
          <w:color w:val="000000" w:themeColor="text1"/>
          <w:sz w:val="22"/>
          <w:szCs w:val="22"/>
        </w:rPr>
      </w:pPr>
      <w:r w:rsidRPr="00C22BFE">
        <w:rPr>
          <w:rFonts w:ascii="Arial" w:hAnsi="Arial" w:cs="Arial"/>
          <w:b/>
          <w:color w:val="000000" w:themeColor="text1"/>
          <w:sz w:val="22"/>
          <w:szCs w:val="22"/>
        </w:rPr>
        <w:t xml:space="preserve">Segundo. </w:t>
      </w:r>
      <w:r w:rsidRPr="00C22BFE">
        <w:rPr>
          <w:rFonts w:ascii="Arial" w:hAnsi="Arial" w:cs="Arial"/>
          <w:color w:val="000000" w:themeColor="text1"/>
          <w:sz w:val="22"/>
          <w:szCs w:val="22"/>
        </w:rPr>
        <w:t xml:space="preserve">Se instruye a la Secretaría Ejecutiva expida el nombramiento correspondiente, e indique los trámites administrativos necesarios para dar cumplimiento al presente acuerdo. </w:t>
      </w:r>
    </w:p>
    <w:p w14:paraId="7BC48027" w14:textId="7280FA92" w:rsidR="00977DFA" w:rsidRPr="00C22BFE" w:rsidRDefault="00977DFA" w:rsidP="00977DFA">
      <w:pPr>
        <w:rPr>
          <w:rFonts w:ascii="Arial" w:hAnsi="Arial" w:cs="Arial"/>
          <w:color w:val="000000" w:themeColor="text1"/>
          <w:sz w:val="22"/>
          <w:szCs w:val="22"/>
        </w:rPr>
      </w:pPr>
      <w:r w:rsidRPr="00C22BFE">
        <w:rPr>
          <w:rFonts w:ascii="Arial" w:hAnsi="Arial" w:cs="Arial"/>
          <w:color w:val="000000" w:themeColor="text1"/>
          <w:sz w:val="22"/>
          <w:szCs w:val="22"/>
        </w:rPr>
        <w:t xml:space="preserve">El presente acuerdo fue aprobado en sesión </w:t>
      </w:r>
      <w:r w:rsidR="006F275E" w:rsidRPr="00C22BFE">
        <w:rPr>
          <w:rFonts w:ascii="Arial" w:hAnsi="Arial" w:cs="Arial"/>
          <w:color w:val="000000" w:themeColor="text1"/>
          <w:sz w:val="22"/>
          <w:szCs w:val="22"/>
        </w:rPr>
        <w:t>extra</w:t>
      </w:r>
      <w:r w:rsidRPr="00C22BFE">
        <w:rPr>
          <w:rFonts w:ascii="Arial" w:hAnsi="Arial" w:cs="Arial"/>
          <w:color w:val="000000" w:themeColor="text1"/>
          <w:sz w:val="22"/>
          <w:szCs w:val="22"/>
        </w:rPr>
        <w:t>ordinaria efectuada el día veintinueve de agosto del año dos mil veinticinco, por votación unánime de la y los integrantes de la Junta Estatal Ejecutiva del Instituto Electoral y de Participación Ciudadana de Tabasco: Mtro. Paul Alejandro González Torruco, Director de Administración; Lic. Ricardo Araiza González, Director de Organización Electoral y Educación Cívica, Lic. Jorge Alberto Zavala Frías, Secretario Ejecutivo y Mtra. Elizabeth Nava Gutiérrez, Presidenta de la Junta Estatal Ejecutiva.</w:t>
      </w:r>
    </w:p>
    <w:p w14:paraId="0706903E" w14:textId="6D427C41" w:rsidR="00AA42B8" w:rsidRDefault="00AA42B8" w:rsidP="001427AA">
      <w:pPr>
        <w:spacing w:line="288" w:lineRule="auto"/>
        <w:rPr>
          <w:rFonts w:ascii="Arial" w:hAnsi="Arial" w:cs="Arial"/>
          <w:sz w:val="22"/>
          <w:szCs w:val="22"/>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1427AA" w:rsidRPr="00437C39" w14:paraId="1C6AA593" w14:textId="77777777" w:rsidTr="007C2299">
        <w:tc>
          <w:tcPr>
            <w:tcW w:w="4395" w:type="dxa"/>
          </w:tcPr>
          <w:p w14:paraId="17F79DB2" w14:textId="6D43FB8D" w:rsidR="001427AA" w:rsidRPr="00437C39" w:rsidRDefault="001427AA" w:rsidP="00A01B29">
            <w:pPr>
              <w:spacing w:before="480" w:after="0"/>
              <w:rPr>
                <w:rFonts w:ascii="Arial" w:hAnsi="Arial" w:cs="Arial"/>
                <w:b/>
                <w:bCs/>
                <w:sz w:val="22"/>
                <w:szCs w:val="22"/>
              </w:rPr>
            </w:pPr>
            <w:r w:rsidRPr="00437C39">
              <w:rPr>
                <w:rFonts w:ascii="Arial" w:hAnsi="Arial" w:cs="Arial"/>
                <w:b/>
                <w:bCs/>
                <w:sz w:val="22"/>
                <w:szCs w:val="22"/>
              </w:rPr>
              <w:t>MTRA. ELIZABETH NAVA GUTIÉRREZ</w:t>
            </w:r>
          </w:p>
          <w:p w14:paraId="11697129" w14:textId="77777777" w:rsidR="001427AA" w:rsidRPr="00437C39" w:rsidRDefault="001427AA" w:rsidP="007C2299">
            <w:pPr>
              <w:spacing w:before="0" w:after="0"/>
              <w:jc w:val="center"/>
              <w:rPr>
                <w:rFonts w:ascii="Arial" w:hAnsi="Arial" w:cs="Arial"/>
                <w:b/>
                <w:bCs/>
                <w:sz w:val="22"/>
                <w:szCs w:val="22"/>
              </w:rPr>
            </w:pPr>
            <w:r w:rsidRPr="00437C39">
              <w:rPr>
                <w:rFonts w:ascii="Arial" w:hAnsi="Arial" w:cs="Arial"/>
                <w:b/>
                <w:bCs/>
                <w:sz w:val="22"/>
                <w:szCs w:val="22"/>
              </w:rPr>
              <w:t>CONSEJERA PRESIDENTA</w:t>
            </w:r>
          </w:p>
        </w:tc>
        <w:tc>
          <w:tcPr>
            <w:tcW w:w="278" w:type="dxa"/>
          </w:tcPr>
          <w:p w14:paraId="1526EDEA" w14:textId="77777777" w:rsidR="001427AA" w:rsidRPr="00437C39" w:rsidRDefault="001427AA" w:rsidP="007C2299">
            <w:pPr>
              <w:spacing w:before="0" w:after="0"/>
              <w:jc w:val="center"/>
              <w:rPr>
                <w:rFonts w:ascii="Arial" w:hAnsi="Arial" w:cs="Arial"/>
                <w:b/>
                <w:bCs/>
                <w:sz w:val="22"/>
                <w:szCs w:val="22"/>
              </w:rPr>
            </w:pPr>
          </w:p>
        </w:tc>
        <w:tc>
          <w:tcPr>
            <w:tcW w:w="4400" w:type="dxa"/>
          </w:tcPr>
          <w:p w14:paraId="1181F072" w14:textId="77777777" w:rsidR="001427AA" w:rsidRPr="00437C39" w:rsidRDefault="001427AA" w:rsidP="007C2299">
            <w:pPr>
              <w:spacing w:before="480" w:after="0"/>
              <w:jc w:val="center"/>
              <w:rPr>
                <w:rFonts w:ascii="Arial" w:hAnsi="Arial" w:cs="Arial"/>
                <w:b/>
                <w:bCs/>
                <w:sz w:val="22"/>
                <w:szCs w:val="22"/>
              </w:rPr>
            </w:pPr>
            <w:r w:rsidRPr="00437C39">
              <w:rPr>
                <w:rFonts w:ascii="Arial" w:hAnsi="Arial" w:cs="Arial"/>
                <w:b/>
                <w:bCs/>
                <w:sz w:val="22"/>
                <w:szCs w:val="22"/>
              </w:rPr>
              <w:t>LIC. JORGE ALBERTO ZAVALA FRÍAS</w:t>
            </w:r>
          </w:p>
          <w:p w14:paraId="40F1EF00" w14:textId="77777777" w:rsidR="001427AA" w:rsidRPr="00437C39" w:rsidRDefault="001427AA" w:rsidP="007C2299">
            <w:pPr>
              <w:spacing w:before="0" w:after="0"/>
              <w:jc w:val="center"/>
              <w:rPr>
                <w:rFonts w:ascii="Arial" w:hAnsi="Arial" w:cs="Arial"/>
                <w:b/>
                <w:bCs/>
                <w:sz w:val="22"/>
                <w:szCs w:val="22"/>
              </w:rPr>
            </w:pPr>
            <w:r w:rsidRPr="00437C39">
              <w:rPr>
                <w:rFonts w:ascii="Arial" w:hAnsi="Arial" w:cs="Arial"/>
                <w:b/>
                <w:bCs/>
                <w:sz w:val="22"/>
                <w:szCs w:val="22"/>
              </w:rPr>
              <w:t>SECRETARIO EJECUTIVO</w:t>
            </w:r>
          </w:p>
        </w:tc>
      </w:tr>
    </w:tbl>
    <w:p w14:paraId="45EBDD4A" w14:textId="310347C3" w:rsidR="005C1D75" w:rsidRDefault="005C1D75"/>
    <w:sectPr w:rsidR="005C1D75" w:rsidSect="006F275E">
      <w:headerReference w:type="default" r:id="rId7"/>
      <w:footerReference w:type="default" r:id="rId8"/>
      <w:pgSz w:w="12240" w:h="15840" w:code="1"/>
      <w:pgMar w:top="2977" w:right="1750"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72956" w14:textId="77777777" w:rsidR="0014001F" w:rsidRDefault="0014001F">
      <w:pPr>
        <w:spacing w:before="0" w:after="0" w:line="240" w:lineRule="auto"/>
      </w:pPr>
      <w:r>
        <w:separator/>
      </w:r>
    </w:p>
  </w:endnote>
  <w:endnote w:type="continuationSeparator" w:id="0">
    <w:p w14:paraId="1F4590EE" w14:textId="77777777" w:rsidR="0014001F" w:rsidRDefault="001400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rPr>
      <w:id w:val="385990326"/>
      <w:docPartObj>
        <w:docPartGallery w:val="Page Numbers (Top of Page)"/>
        <w:docPartUnique/>
      </w:docPartObj>
    </w:sdtPr>
    <w:sdtEndPr/>
    <w:sdtContent>
      <w:p w14:paraId="7EF78D56" w14:textId="2F55C809" w:rsidR="00CA34E9" w:rsidRPr="00437C39" w:rsidRDefault="00CA34E9" w:rsidP="007C2299">
        <w:pPr>
          <w:pStyle w:val="Piedepgina"/>
          <w:jc w:val="right"/>
          <w:rPr>
            <w:rFonts w:ascii="Arial" w:hAnsi="Arial" w:cs="Arial"/>
            <w:color w:val="993366"/>
          </w:rPr>
        </w:pPr>
        <w:r w:rsidRPr="00437C39">
          <w:rPr>
            <w:rFonts w:ascii="Arial" w:hAnsi="Arial" w:cs="Arial"/>
            <w:b/>
            <w:bCs/>
            <w:color w:val="993366"/>
          </w:rPr>
          <w:t xml:space="preserve">Página </w:t>
        </w:r>
        <w:r w:rsidRPr="00437C39">
          <w:rPr>
            <w:rFonts w:ascii="Arial" w:hAnsi="Arial" w:cs="Arial"/>
            <w:b/>
            <w:bCs/>
            <w:color w:val="993366"/>
          </w:rPr>
          <w:fldChar w:fldCharType="begin"/>
        </w:r>
        <w:r w:rsidRPr="00437C39">
          <w:rPr>
            <w:rFonts w:ascii="Arial" w:hAnsi="Arial" w:cs="Arial"/>
            <w:b/>
            <w:bCs/>
            <w:color w:val="993366"/>
          </w:rPr>
          <w:instrText>PAGE</w:instrText>
        </w:r>
        <w:r w:rsidRPr="00437C39">
          <w:rPr>
            <w:rFonts w:ascii="Arial" w:hAnsi="Arial" w:cs="Arial"/>
            <w:b/>
            <w:bCs/>
            <w:color w:val="993366"/>
          </w:rPr>
          <w:fldChar w:fldCharType="separate"/>
        </w:r>
        <w:r w:rsidR="00C22BFE">
          <w:rPr>
            <w:rFonts w:ascii="Arial" w:hAnsi="Arial" w:cs="Arial"/>
            <w:b/>
            <w:bCs/>
            <w:noProof/>
            <w:color w:val="993366"/>
          </w:rPr>
          <w:t>6</w:t>
        </w:r>
        <w:r w:rsidRPr="00437C39">
          <w:rPr>
            <w:rFonts w:ascii="Arial" w:hAnsi="Arial" w:cs="Arial"/>
            <w:b/>
            <w:bCs/>
            <w:color w:val="993366"/>
          </w:rPr>
          <w:fldChar w:fldCharType="end"/>
        </w:r>
        <w:r w:rsidRPr="00437C39">
          <w:rPr>
            <w:rFonts w:ascii="Arial" w:hAnsi="Arial" w:cs="Arial"/>
            <w:b/>
            <w:bCs/>
            <w:color w:val="993366"/>
          </w:rPr>
          <w:t xml:space="preserve"> | </w:t>
        </w:r>
        <w:r w:rsidRPr="00437C39">
          <w:rPr>
            <w:rFonts w:ascii="Arial" w:hAnsi="Arial" w:cs="Arial"/>
            <w:b/>
            <w:bCs/>
            <w:color w:val="993366"/>
          </w:rPr>
          <w:fldChar w:fldCharType="begin"/>
        </w:r>
        <w:r w:rsidRPr="00437C39">
          <w:rPr>
            <w:rFonts w:ascii="Arial" w:hAnsi="Arial" w:cs="Arial"/>
            <w:b/>
            <w:bCs/>
            <w:color w:val="993366"/>
          </w:rPr>
          <w:instrText>NUMPAGES</w:instrText>
        </w:r>
        <w:r w:rsidRPr="00437C39">
          <w:rPr>
            <w:rFonts w:ascii="Arial" w:hAnsi="Arial" w:cs="Arial"/>
            <w:b/>
            <w:bCs/>
            <w:color w:val="993366"/>
          </w:rPr>
          <w:fldChar w:fldCharType="separate"/>
        </w:r>
        <w:r w:rsidR="00C22BFE">
          <w:rPr>
            <w:rFonts w:ascii="Arial" w:hAnsi="Arial" w:cs="Arial"/>
            <w:b/>
            <w:bCs/>
            <w:noProof/>
            <w:color w:val="993366"/>
          </w:rPr>
          <w:t>6</w:t>
        </w:r>
        <w:r w:rsidRPr="00437C39">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23BC8" w14:textId="77777777" w:rsidR="0014001F" w:rsidRDefault="0014001F">
      <w:pPr>
        <w:spacing w:before="0" w:after="0" w:line="240" w:lineRule="auto"/>
      </w:pPr>
      <w:r>
        <w:separator/>
      </w:r>
    </w:p>
  </w:footnote>
  <w:footnote w:type="continuationSeparator" w:id="0">
    <w:p w14:paraId="4B878320" w14:textId="77777777" w:rsidR="0014001F" w:rsidRDefault="001400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CA34E9" w14:paraId="07C47F58" w14:textId="77777777" w:rsidTr="007C2299">
      <w:tc>
        <w:tcPr>
          <w:tcW w:w="1813" w:type="dxa"/>
        </w:tcPr>
        <w:p w14:paraId="0E0E1F29" w14:textId="77777777" w:rsidR="00CA34E9" w:rsidRDefault="00CA34E9" w:rsidP="007C2299">
          <w:pPr>
            <w:pStyle w:val="Encabezado"/>
          </w:pPr>
          <w:r>
            <w:rPr>
              <w:b/>
              <w:noProof/>
              <w:sz w:val="32"/>
              <w:lang w:eastAsia="es-MX"/>
            </w:rPr>
            <w:drawing>
              <wp:inline distT="0" distB="0" distL="0" distR="0" wp14:anchorId="7592EA09" wp14:editId="202962D1">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4ECE11EE" w14:textId="77777777" w:rsidR="00CA34E9" w:rsidRPr="00437C39" w:rsidRDefault="00CA34E9" w:rsidP="007C2299">
          <w:pPr>
            <w:pStyle w:val="Encabezado"/>
            <w:spacing w:before="720"/>
            <w:jc w:val="center"/>
            <w:rPr>
              <w:rFonts w:ascii="Arial" w:hAnsi="Arial" w:cs="Arial"/>
              <w:b/>
              <w:bCs/>
              <w:spacing w:val="-10"/>
              <w:sz w:val="26"/>
              <w:szCs w:val="26"/>
            </w:rPr>
          </w:pPr>
          <w:r w:rsidRPr="00437C39">
            <w:rPr>
              <w:rFonts w:ascii="Arial" w:hAnsi="Arial" w:cs="Arial"/>
              <w:b/>
              <w:bCs/>
              <w:spacing w:val="-10"/>
              <w:sz w:val="26"/>
              <w:szCs w:val="26"/>
            </w:rPr>
            <w:t>INSTITUTO ELECTORAL Y DE PARTICIPACIÓN CIUDADANA DE TABASCO</w:t>
          </w:r>
        </w:p>
        <w:p w14:paraId="5292C47B" w14:textId="77777777" w:rsidR="00CA34E9" w:rsidRDefault="00CA34E9" w:rsidP="007C2299">
          <w:pPr>
            <w:pStyle w:val="Encabezado"/>
            <w:spacing w:before="60"/>
            <w:jc w:val="center"/>
          </w:pPr>
          <w:r w:rsidRPr="00437C39">
            <w:rPr>
              <w:rFonts w:ascii="Arial" w:hAnsi="Arial" w:cs="Arial"/>
              <w:b/>
              <w:bCs/>
              <w:sz w:val="28"/>
              <w:szCs w:val="28"/>
            </w:rPr>
            <w:t>JUNTA ESTATAL EJECUTIVA</w:t>
          </w:r>
        </w:p>
      </w:tc>
      <w:tc>
        <w:tcPr>
          <w:tcW w:w="1560" w:type="dxa"/>
        </w:tcPr>
        <w:p w14:paraId="63888789" w14:textId="77777777" w:rsidR="00CA34E9" w:rsidRDefault="00CA34E9" w:rsidP="007C2299">
          <w:pPr>
            <w:pStyle w:val="Encabezado"/>
            <w:spacing w:before="480"/>
            <w:jc w:val="right"/>
          </w:pPr>
          <w:r>
            <w:rPr>
              <w:noProof/>
              <w:lang w:eastAsia="es-MX"/>
            </w:rPr>
            <w:drawing>
              <wp:inline distT="0" distB="0" distL="0" distR="0" wp14:anchorId="6EC0B607" wp14:editId="72141D08">
                <wp:extent cx="921600" cy="756000"/>
                <wp:effectExtent l="0" t="0" r="0" b="6350"/>
                <wp:docPr id="6"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8560E04" w14:textId="2D899107" w:rsidR="00CA34E9" w:rsidRPr="00AA42B8" w:rsidRDefault="00CA34E9" w:rsidP="007C2299">
    <w:pPr>
      <w:pStyle w:val="Encabezado"/>
      <w:jc w:val="right"/>
      <w:rPr>
        <w:rFonts w:ascii="Arial" w:hAnsi="Arial" w:cs="Arial"/>
        <w:b/>
      </w:rPr>
    </w:pPr>
    <w:proofErr w:type="spellStart"/>
    <w:r w:rsidRPr="00AA42B8">
      <w:rPr>
        <w:rFonts w:ascii="Arial" w:hAnsi="Arial" w:cs="Arial"/>
        <w:b/>
      </w:rPr>
      <w:t>JEE</w:t>
    </w:r>
    <w:proofErr w:type="spellEnd"/>
    <w:r w:rsidRPr="00AA42B8">
      <w:rPr>
        <w:rFonts w:ascii="Arial" w:hAnsi="Arial" w:cs="Arial"/>
        <w:b/>
      </w:rPr>
      <w:t>/2025/0</w:t>
    </w:r>
    <w:r w:rsidR="00AA42B8" w:rsidRPr="00AA42B8">
      <w:rPr>
        <w:rFonts w:ascii="Arial" w:hAnsi="Arial" w:cs="Arial"/>
        <w:b/>
      </w:rPr>
      <w:t>2</w:t>
    </w:r>
    <w:r w:rsidR="006F275E">
      <w:rPr>
        <w:rFonts w:ascii="Arial" w:hAnsi="Arial" w:cs="Arial"/>
        <w:b/>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1C17"/>
    <w:multiLevelType w:val="hybridMultilevel"/>
    <w:tmpl w:val="5664BA56"/>
    <w:lvl w:ilvl="0" w:tplc="E3AE375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7802A3"/>
    <w:multiLevelType w:val="hybridMultilevel"/>
    <w:tmpl w:val="94449D4A"/>
    <w:lvl w:ilvl="0" w:tplc="133C4C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CA7404"/>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3DD31B66"/>
    <w:multiLevelType w:val="hybridMultilevel"/>
    <w:tmpl w:val="3138B6FC"/>
    <w:lvl w:ilvl="0" w:tplc="C004E948">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7325F6"/>
    <w:multiLevelType w:val="hybridMultilevel"/>
    <w:tmpl w:val="CAE068D8"/>
    <w:lvl w:ilvl="0" w:tplc="1974C3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93403D"/>
    <w:multiLevelType w:val="hybridMultilevel"/>
    <w:tmpl w:val="A2B443AC"/>
    <w:lvl w:ilvl="0" w:tplc="080A000F">
      <w:start w:val="1"/>
      <w:numFmt w:val="decimal"/>
      <w:lvlText w:val="%1."/>
      <w:lvlJc w:val="left"/>
      <w:pPr>
        <w:ind w:left="720" w:hanging="360"/>
      </w:pPr>
      <w:rPr>
        <w:rFonts w:hint="default"/>
      </w:rPr>
    </w:lvl>
    <w:lvl w:ilvl="1" w:tplc="9BBACE5E">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AA"/>
    <w:rsid w:val="000744AC"/>
    <w:rsid w:val="00100F64"/>
    <w:rsid w:val="00137FDC"/>
    <w:rsid w:val="0014001F"/>
    <w:rsid w:val="001427AA"/>
    <w:rsid w:val="00146669"/>
    <w:rsid w:val="00181EC7"/>
    <w:rsid w:val="001D7132"/>
    <w:rsid w:val="001F630F"/>
    <w:rsid w:val="00322325"/>
    <w:rsid w:val="00384EB1"/>
    <w:rsid w:val="00497529"/>
    <w:rsid w:val="005562CF"/>
    <w:rsid w:val="0057037C"/>
    <w:rsid w:val="005C1D75"/>
    <w:rsid w:val="006C61F6"/>
    <w:rsid w:val="006D51E6"/>
    <w:rsid w:val="006F275E"/>
    <w:rsid w:val="0072121F"/>
    <w:rsid w:val="00734BE6"/>
    <w:rsid w:val="007914D4"/>
    <w:rsid w:val="007C2299"/>
    <w:rsid w:val="00806EF2"/>
    <w:rsid w:val="00977DFA"/>
    <w:rsid w:val="009E6CD6"/>
    <w:rsid w:val="00A01B29"/>
    <w:rsid w:val="00AA42B8"/>
    <w:rsid w:val="00AB1082"/>
    <w:rsid w:val="00BB2097"/>
    <w:rsid w:val="00BB7C77"/>
    <w:rsid w:val="00C22BFE"/>
    <w:rsid w:val="00C478BC"/>
    <w:rsid w:val="00C54857"/>
    <w:rsid w:val="00C97D94"/>
    <w:rsid w:val="00CA34E9"/>
    <w:rsid w:val="00CB1302"/>
    <w:rsid w:val="00CD6661"/>
    <w:rsid w:val="00D020A1"/>
    <w:rsid w:val="00D34996"/>
    <w:rsid w:val="00D64A54"/>
    <w:rsid w:val="00DD0D47"/>
    <w:rsid w:val="00DD4B53"/>
    <w:rsid w:val="00E05A18"/>
    <w:rsid w:val="00F10481"/>
    <w:rsid w:val="00F13644"/>
    <w:rsid w:val="00F873D4"/>
    <w:rsid w:val="00FD4B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6DED"/>
  <w15:chartTrackingRefBased/>
  <w15:docId w15:val="{E1B8F482-DB04-48CF-8D22-E69DAE09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7AA"/>
    <w:pPr>
      <w:spacing w:before="240" w:after="240" w:line="276" w:lineRule="auto"/>
      <w:jc w:val="both"/>
    </w:pPr>
    <w:rPr>
      <w:rFonts w:ascii="Exo" w:hAnsi="Exo"/>
      <w:kern w:val="2"/>
      <w:sz w:val="24"/>
      <w:szCs w:val="24"/>
      <w14:ligatures w14:val="standardContextual"/>
    </w:rPr>
  </w:style>
  <w:style w:type="paragraph" w:styleId="Ttulo1">
    <w:name w:val="heading 1"/>
    <w:basedOn w:val="Normal"/>
    <w:next w:val="Normal"/>
    <w:link w:val="Ttulo1Car"/>
    <w:uiPriority w:val="9"/>
    <w:qFormat/>
    <w:rsid w:val="001427AA"/>
    <w:pPr>
      <w:keepNext/>
      <w:keepLines/>
      <w:numPr>
        <w:numId w:val="5"/>
      </w:numPr>
      <w:spacing w:before="600" w:after="360"/>
      <w:jc w:val="cente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1427AA"/>
    <w:pPr>
      <w:keepNext/>
      <w:keepLines/>
      <w:numPr>
        <w:ilvl w:val="1"/>
        <w:numId w:val="5"/>
      </w:numPr>
      <w:spacing w:before="480"/>
      <w:outlineLvl w:val="1"/>
    </w:pPr>
    <w:rPr>
      <w:rFonts w:eastAsiaTheme="majorEastAsia" w:cstheme="majorBidi"/>
      <w:b/>
      <w:bCs/>
      <w:color w:val="2E74B5" w:themeColor="accent1" w:themeShade="BF"/>
    </w:rPr>
  </w:style>
  <w:style w:type="paragraph" w:styleId="Ttulo3">
    <w:name w:val="heading 3"/>
    <w:basedOn w:val="Normal"/>
    <w:next w:val="Normal"/>
    <w:link w:val="Ttulo3Car"/>
    <w:uiPriority w:val="9"/>
    <w:semiHidden/>
    <w:unhideWhenUsed/>
    <w:qFormat/>
    <w:rsid w:val="001427AA"/>
    <w:pPr>
      <w:keepNext/>
      <w:keepLines/>
      <w:numPr>
        <w:ilvl w:val="2"/>
        <w:numId w:val="5"/>
      </w:numPr>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1427AA"/>
    <w:pPr>
      <w:keepNext/>
      <w:keepLines/>
      <w:numPr>
        <w:ilvl w:val="3"/>
        <w:numId w:val="5"/>
      </w:numPr>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1427AA"/>
    <w:pPr>
      <w:keepNext/>
      <w:keepLines/>
      <w:numPr>
        <w:ilvl w:val="4"/>
        <w:numId w:val="5"/>
      </w:numPr>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1427AA"/>
    <w:pPr>
      <w:keepNext/>
      <w:keepLines/>
      <w:numPr>
        <w:ilvl w:val="5"/>
        <w:numId w:val="5"/>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427AA"/>
    <w:pPr>
      <w:keepNext/>
      <w:keepLines/>
      <w:numPr>
        <w:ilvl w:val="6"/>
        <w:numId w:val="5"/>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427AA"/>
    <w:pPr>
      <w:keepNext/>
      <w:keepLines/>
      <w:numPr>
        <w:ilvl w:val="7"/>
        <w:numId w:val="5"/>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427AA"/>
    <w:pPr>
      <w:keepNext/>
      <w:keepLines/>
      <w:numPr>
        <w:ilvl w:val="8"/>
        <w:numId w:val="5"/>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27AA"/>
    <w:rPr>
      <w:rFonts w:ascii="Exo" w:eastAsiaTheme="majorEastAsia" w:hAnsi="Exo" w:cstheme="majorBidi"/>
      <w:b/>
      <w:bCs/>
      <w:kern w:val="2"/>
      <w:sz w:val="28"/>
      <w:szCs w:val="28"/>
      <w14:ligatures w14:val="standardContextual"/>
    </w:rPr>
  </w:style>
  <w:style w:type="character" w:customStyle="1" w:styleId="Ttulo2Car">
    <w:name w:val="Título 2 Car"/>
    <w:basedOn w:val="Fuentedeprrafopredeter"/>
    <w:link w:val="Ttulo2"/>
    <w:uiPriority w:val="9"/>
    <w:rsid w:val="001427AA"/>
    <w:rPr>
      <w:rFonts w:ascii="Exo" w:eastAsiaTheme="majorEastAsia" w:hAnsi="Exo" w:cstheme="majorBidi"/>
      <w:b/>
      <w:bCs/>
      <w:color w:val="2E74B5" w:themeColor="accent1" w:themeShade="BF"/>
      <w:kern w:val="2"/>
      <w:sz w:val="24"/>
      <w:szCs w:val="24"/>
      <w14:ligatures w14:val="standardContextual"/>
    </w:rPr>
  </w:style>
  <w:style w:type="character" w:customStyle="1" w:styleId="Ttulo3Car">
    <w:name w:val="Título 3 Car"/>
    <w:basedOn w:val="Fuentedeprrafopredeter"/>
    <w:link w:val="Ttulo3"/>
    <w:uiPriority w:val="9"/>
    <w:semiHidden/>
    <w:rsid w:val="001427AA"/>
    <w:rPr>
      <w:rFonts w:ascii="Exo" w:eastAsiaTheme="majorEastAsia" w:hAnsi="Exo" w:cstheme="majorBidi"/>
      <w:color w:val="2E74B5" w:themeColor="accent1" w:themeShade="BF"/>
      <w:kern w:val="2"/>
      <w:sz w:val="28"/>
      <w:szCs w:val="28"/>
      <w14:ligatures w14:val="standardContextual"/>
    </w:rPr>
  </w:style>
  <w:style w:type="character" w:customStyle="1" w:styleId="Ttulo4Car">
    <w:name w:val="Título 4 Car"/>
    <w:basedOn w:val="Fuentedeprrafopredeter"/>
    <w:link w:val="Ttulo4"/>
    <w:uiPriority w:val="9"/>
    <w:semiHidden/>
    <w:rsid w:val="001427AA"/>
    <w:rPr>
      <w:rFonts w:ascii="Exo" w:eastAsiaTheme="majorEastAsia" w:hAnsi="Exo" w:cstheme="majorBidi"/>
      <w:i/>
      <w:iCs/>
      <w:color w:val="2E74B5" w:themeColor="accent1" w:themeShade="BF"/>
      <w:kern w:val="2"/>
      <w:sz w:val="24"/>
      <w:szCs w:val="24"/>
      <w14:ligatures w14:val="standardContextual"/>
    </w:rPr>
  </w:style>
  <w:style w:type="character" w:customStyle="1" w:styleId="Ttulo5Car">
    <w:name w:val="Título 5 Car"/>
    <w:basedOn w:val="Fuentedeprrafopredeter"/>
    <w:link w:val="Ttulo5"/>
    <w:uiPriority w:val="9"/>
    <w:semiHidden/>
    <w:rsid w:val="001427AA"/>
    <w:rPr>
      <w:rFonts w:ascii="Exo" w:eastAsiaTheme="majorEastAsia" w:hAnsi="Exo" w:cstheme="majorBidi"/>
      <w:color w:val="2E74B5"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1427AA"/>
    <w:rPr>
      <w:rFonts w:ascii="Exo" w:eastAsiaTheme="majorEastAsia" w:hAnsi="Exo" w:cstheme="majorBidi"/>
      <w:i/>
      <w:iCs/>
      <w:color w:val="595959" w:themeColor="text1" w:themeTint="A6"/>
      <w:kern w:val="2"/>
      <w:sz w:val="24"/>
      <w:szCs w:val="24"/>
      <w14:ligatures w14:val="standardContextual"/>
    </w:rPr>
  </w:style>
  <w:style w:type="character" w:customStyle="1" w:styleId="Ttulo7Car">
    <w:name w:val="Título 7 Car"/>
    <w:basedOn w:val="Fuentedeprrafopredeter"/>
    <w:link w:val="Ttulo7"/>
    <w:uiPriority w:val="9"/>
    <w:semiHidden/>
    <w:rsid w:val="001427AA"/>
    <w:rPr>
      <w:rFonts w:ascii="Exo" w:eastAsiaTheme="majorEastAsia" w:hAnsi="Exo" w:cstheme="majorBidi"/>
      <w:color w:val="595959" w:themeColor="text1" w:themeTint="A6"/>
      <w:kern w:val="2"/>
      <w:sz w:val="24"/>
      <w:szCs w:val="24"/>
      <w14:ligatures w14:val="standardContextual"/>
    </w:rPr>
  </w:style>
  <w:style w:type="character" w:customStyle="1" w:styleId="Ttulo8Car">
    <w:name w:val="Título 8 Car"/>
    <w:basedOn w:val="Fuentedeprrafopredeter"/>
    <w:link w:val="Ttulo8"/>
    <w:uiPriority w:val="9"/>
    <w:semiHidden/>
    <w:rsid w:val="001427AA"/>
    <w:rPr>
      <w:rFonts w:ascii="Exo" w:eastAsiaTheme="majorEastAsia" w:hAnsi="Exo" w:cstheme="majorBidi"/>
      <w:i/>
      <w:iCs/>
      <w:color w:val="272727" w:themeColor="text1" w:themeTint="D8"/>
      <w:kern w:val="2"/>
      <w:sz w:val="24"/>
      <w:szCs w:val="24"/>
      <w14:ligatures w14:val="standardContextual"/>
    </w:rPr>
  </w:style>
  <w:style w:type="character" w:customStyle="1" w:styleId="Ttulo9Car">
    <w:name w:val="Título 9 Car"/>
    <w:basedOn w:val="Fuentedeprrafopredeter"/>
    <w:link w:val="Ttulo9"/>
    <w:uiPriority w:val="9"/>
    <w:semiHidden/>
    <w:rsid w:val="001427AA"/>
    <w:rPr>
      <w:rFonts w:ascii="Exo" w:eastAsiaTheme="majorEastAsia" w:hAnsi="Exo" w:cstheme="majorBidi"/>
      <w:color w:val="272727" w:themeColor="text1" w:themeTint="D8"/>
      <w:kern w:val="2"/>
      <w:sz w:val="24"/>
      <w:szCs w:val="24"/>
      <w14:ligatures w14:val="standardContextual"/>
    </w:rPr>
  </w:style>
  <w:style w:type="paragraph" w:styleId="Prrafodelista">
    <w:name w:val="List Paragraph"/>
    <w:basedOn w:val="Normal"/>
    <w:uiPriority w:val="34"/>
    <w:qFormat/>
    <w:rsid w:val="001427AA"/>
    <w:pPr>
      <w:ind w:left="720"/>
      <w:contextualSpacing/>
    </w:pPr>
  </w:style>
  <w:style w:type="table" w:styleId="Tablaconcuadrcula">
    <w:name w:val="Table Grid"/>
    <w:basedOn w:val="Tablanormal"/>
    <w:uiPriority w:val="39"/>
    <w:rsid w:val="001427AA"/>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427AA"/>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427AA"/>
    <w:rPr>
      <w:rFonts w:ascii="Exo" w:hAnsi="Exo"/>
      <w:kern w:val="2"/>
      <w:sz w:val="24"/>
      <w:szCs w:val="24"/>
      <w14:ligatures w14:val="standardContextual"/>
    </w:rPr>
  </w:style>
  <w:style w:type="paragraph" w:styleId="Piedepgina">
    <w:name w:val="footer"/>
    <w:basedOn w:val="Normal"/>
    <w:link w:val="PiedepginaCar"/>
    <w:uiPriority w:val="99"/>
    <w:unhideWhenUsed/>
    <w:rsid w:val="001427AA"/>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1427AA"/>
    <w:rPr>
      <w:rFonts w:ascii="Exo" w:hAnsi="Exo"/>
      <w:kern w:val="2"/>
      <w:sz w:val="24"/>
      <w:szCs w:val="24"/>
      <w14:ligatures w14:val="standardContextual"/>
    </w:rPr>
  </w:style>
  <w:style w:type="paragraph" w:styleId="Textodeglobo">
    <w:name w:val="Balloon Text"/>
    <w:basedOn w:val="Normal"/>
    <w:link w:val="TextodegloboCar"/>
    <w:uiPriority w:val="99"/>
    <w:semiHidden/>
    <w:unhideWhenUsed/>
    <w:rsid w:val="00C22BF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2BFE"/>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1592</Words>
  <Characters>8756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MARIA GOMEZ HERNANDEZ</dc:creator>
  <cp:keywords/>
  <dc:description/>
  <cp:lastModifiedBy>Jaqueline del Carmen Carrillo Llergo</cp:lastModifiedBy>
  <cp:revision>4</cp:revision>
  <cp:lastPrinted>2025-09-11T15:38:00Z</cp:lastPrinted>
  <dcterms:created xsi:type="dcterms:W3CDTF">2025-09-11T15:47:00Z</dcterms:created>
  <dcterms:modified xsi:type="dcterms:W3CDTF">2025-09-11T15:39:00Z</dcterms:modified>
</cp:coreProperties>
</file>