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A1A59" w14:textId="33A3CC10" w:rsidR="00B176C7" w:rsidRDefault="00A342CA" w:rsidP="0034214B">
      <w:pPr>
        <w:spacing w:before="240" w:line="281" w:lineRule="auto"/>
        <w:jc w:val="both"/>
        <w:rPr>
          <w:rFonts w:ascii="Arial" w:hAnsi="Arial" w:cs="Arial"/>
          <w:b/>
          <w:lang w:val="es-ES"/>
        </w:rPr>
      </w:pPr>
      <w:r w:rsidRPr="00534D30">
        <w:rPr>
          <w:rFonts w:ascii="Arial" w:hAnsi="Arial" w:cs="Arial"/>
          <w:b/>
          <w:lang w:val="es-ES"/>
        </w:rPr>
        <w:t xml:space="preserve">INFORME QUE RINDE EL SECRETARIO EJECUTIVO, RESPECTO DE LA RECEPCIÓN Y TRÁMITE DE LOS MEDIOS DE IMPUGNACIÓN </w:t>
      </w:r>
      <w:r w:rsidR="00DD5AAE" w:rsidRPr="00534D30">
        <w:rPr>
          <w:rFonts w:ascii="Arial" w:hAnsi="Arial" w:cs="Arial"/>
          <w:b/>
          <w:lang w:val="es-ES"/>
        </w:rPr>
        <w:t xml:space="preserve">CORRESPONDIENTES AL </w:t>
      </w:r>
      <w:r w:rsidRPr="00534D30">
        <w:rPr>
          <w:rFonts w:ascii="Arial" w:hAnsi="Arial" w:cs="Arial"/>
          <w:b/>
          <w:lang w:val="es-ES"/>
        </w:rPr>
        <w:t xml:space="preserve">MES DE </w:t>
      </w:r>
      <w:r w:rsidR="001322F0" w:rsidRPr="00534D30">
        <w:rPr>
          <w:rFonts w:ascii="Arial" w:hAnsi="Arial" w:cs="Arial"/>
          <w:b/>
          <w:lang w:val="es-ES"/>
        </w:rPr>
        <w:t>JUNIO</w:t>
      </w:r>
      <w:r w:rsidR="00885A3F" w:rsidRPr="00534D30">
        <w:rPr>
          <w:rFonts w:ascii="Arial" w:hAnsi="Arial" w:cs="Arial"/>
          <w:b/>
          <w:lang w:val="es-ES"/>
        </w:rPr>
        <w:t xml:space="preserve"> DE 2025</w:t>
      </w:r>
      <w:r w:rsidRPr="00534D30">
        <w:rPr>
          <w:rFonts w:ascii="Arial" w:hAnsi="Arial" w:cs="Arial"/>
          <w:b/>
          <w:lang w:val="es-ES"/>
        </w:rPr>
        <w:t xml:space="preserve"> EN CONTRA DE LOS ACTOS, OMISIONES O RESOLUCIONES DE LOS ÓRGANOS CENTRALES DEL INSTITUTO ELECTORAL Y DE PARTICIPACIÓN CIUDADANA DE TABASCO, ASÍ COMO DE LAS RESOLUCIONES DICTADAS POR LOS ÓRGANOS JURISDICCIONALES</w:t>
      </w:r>
    </w:p>
    <w:p w14:paraId="2DD8567C" w14:textId="77777777" w:rsidR="00534D30" w:rsidRPr="00534D30" w:rsidRDefault="00534D30" w:rsidP="0034214B">
      <w:pPr>
        <w:spacing w:before="240" w:line="281" w:lineRule="auto"/>
        <w:jc w:val="both"/>
        <w:rPr>
          <w:rFonts w:ascii="Arial" w:hAnsi="Arial" w:cs="Arial"/>
          <w:b/>
          <w:lang w:val="es-ES"/>
        </w:rPr>
      </w:pPr>
    </w:p>
    <w:p w14:paraId="0F0B9D00" w14:textId="1C7E7780" w:rsidR="000D7259" w:rsidRPr="00534D30" w:rsidRDefault="002C7A43" w:rsidP="0034214B">
      <w:pPr>
        <w:spacing w:before="240" w:line="281" w:lineRule="auto"/>
        <w:jc w:val="both"/>
        <w:rPr>
          <w:rFonts w:ascii="Arial" w:hAnsi="Arial" w:cs="Arial"/>
        </w:rPr>
      </w:pPr>
      <w:r w:rsidRPr="00534D30">
        <w:rPr>
          <w:rFonts w:ascii="Arial" w:hAnsi="Arial" w:cs="Arial"/>
        </w:rPr>
        <w:t xml:space="preserve">En cumplimiento a lo establecido en el artículo 117, numeral 2, fracción IX y X de la Ley Electoral y de Partidos Políticos del Estado de Tabasco, rindo el informe </w:t>
      </w:r>
      <w:r w:rsidR="001322F0" w:rsidRPr="00534D30">
        <w:rPr>
          <w:rFonts w:ascii="Arial" w:hAnsi="Arial" w:cs="Arial"/>
        </w:rPr>
        <w:t>correspondiente al mes de junio</w:t>
      </w:r>
      <w:r w:rsidR="00DD5AAE" w:rsidRPr="00534D30">
        <w:rPr>
          <w:rFonts w:ascii="Arial" w:hAnsi="Arial" w:cs="Arial"/>
        </w:rPr>
        <w:t xml:space="preserve"> </w:t>
      </w:r>
      <w:r w:rsidRPr="00534D30">
        <w:rPr>
          <w:rFonts w:ascii="Arial" w:hAnsi="Arial" w:cs="Arial"/>
        </w:rPr>
        <w:t>de los medios de impugnación presentados en contra de los actos, omisiones o resoluciones de los órganos centrales de este Instituto Estatal y las resoluciones que corresponden dictadas por los órganos jurisdiccionales, de conformidad con lo siguiente:</w:t>
      </w:r>
    </w:p>
    <w:p w14:paraId="6F35ED78" w14:textId="0F74E2DE" w:rsidR="006160F3" w:rsidRPr="00534D30" w:rsidRDefault="00F03D01" w:rsidP="0034214B">
      <w:pPr>
        <w:pStyle w:val="Prrafodelista"/>
        <w:keepNext/>
        <w:keepLines/>
        <w:numPr>
          <w:ilvl w:val="0"/>
          <w:numId w:val="5"/>
        </w:numPr>
        <w:tabs>
          <w:tab w:val="left" w:pos="4820"/>
        </w:tabs>
        <w:spacing w:before="240" w:after="160" w:line="281" w:lineRule="auto"/>
        <w:jc w:val="both"/>
        <w:rPr>
          <w:rFonts w:ascii="Arial" w:eastAsia="DengXian" w:hAnsi="Arial" w:cs="Arial"/>
          <w:color w:val="auto"/>
          <w:sz w:val="22"/>
          <w:szCs w:val="22"/>
        </w:rPr>
      </w:pPr>
      <w:r w:rsidRPr="00534D30">
        <w:rPr>
          <w:rFonts w:ascii="Arial" w:eastAsia="Yu Gothic UI Light" w:hAnsi="Arial" w:cs="Arial"/>
          <w:b/>
          <w:color w:val="auto"/>
          <w:sz w:val="22"/>
          <w:szCs w:val="22"/>
        </w:rPr>
        <w:t>Medios de Impugnación Presentados</w:t>
      </w:r>
    </w:p>
    <w:p w14:paraId="2CB67868" w14:textId="46534BC5" w:rsidR="006160F3" w:rsidRPr="00534D30" w:rsidRDefault="00540D54" w:rsidP="0034214B">
      <w:pPr>
        <w:pStyle w:val="Prrafodelista"/>
        <w:numPr>
          <w:ilvl w:val="1"/>
          <w:numId w:val="5"/>
        </w:numPr>
        <w:ind w:left="709"/>
        <w:jc w:val="both"/>
        <w:rPr>
          <w:rFonts w:ascii="Arial" w:hAnsi="Arial" w:cs="Arial"/>
          <w:b/>
          <w:color w:val="auto"/>
          <w:sz w:val="22"/>
          <w:szCs w:val="22"/>
          <w:shd w:val="clear" w:color="auto" w:fill="FFFFFF"/>
        </w:rPr>
      </w:pPr>
      <w:r w:rsidRPr="00534D30">
        <w:rPr>
          <w:rFonts w:ascii="Arial" w:hAnsi="Arial" w:cs="Arial"/>
          <w:b/>
          <w:color w:val="auto"/>
          <w:sz w:val="22"/>
          <w:szCs w:val="22"/>
          <w:shd w:val="clear" w:color="auto" w:fill="FFFFFF"/>
        </w:rPr>
        <w:t>A</w:t>
      </w:r>
      <w:r w:rsidR="00FD33D2" w:rsidRPr="00534D30">
        <w:rPr>
          <w:rFonts w:ascii="Arial" w:hAnsi="Arial" w:cs="Arial"/>
          <w:b/>
          <w:color w:val="auto"/>
          <w:sz w:val="22"/>
          <w:szCs w:val="22"/>
          <w:shd w:val="clear" w:color="auto" w:fill="FFFFFF"/>
        </w:rPr>
        <w:t>nte</w:t>
      </w:r>
      <w:r w:rsidR="006160F3" w:rsidRPr="00534D30">
        <w:rPr>
          <w:rFonts w:ascii="Arial" w:hAnsi="Arial" w:cs="Arial"/>
          <w:b/>
          <w:color w:val="auto"/>
          <w:sz w:val="22"/>
          <w:szCs w:val="22"/>
          <w:shd w:val="clear" w:color="auto" w:fill="FFFFFF"/>
        </w:rPr>
        <w:t xml:space="preserve"> </w:t>
      </w:r>
      <w:r w:rsidR="00F03D01" w:rsidRPr="00534D30">
        <w:rPr>
          <w:rFonts w:ascii="Arial" w:hAnsi="Arial" w:cs="Arial"/>
          <w:b/>
          <w:color w:val="auto"/>
          <w:sz w:val="22"/>
          <w:szCs w:val="22"/>
          <w:shd w:val="clear" w:color="auto" w:fill="FFFFFF"/>
        </w:rPr>
        <w:t>el Tribunal Electoral de Tabasco</w:t>
      </w:r>
    </w:p>
    <w:p w14:paraId="6C2EC2CA" w14:textId="76A90E38" w:rsidR="001322F0" w:rsidRPr="00534D30" w:rsidRDefault="001322F0" w:rsidP="0034214B">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534D30">
        <w:rPr>
          <w:rFonts w:ascii="Arial" w:eastAsia="Times New Roman" w:hAnsi="Arial" w:cs="Arial"/>
          <w:color w:val="auto"/>
          <w:sz w:val="22"/>
          <w:szCs w:val="22"/>
          <w:lang w:eastAsia="es-MX"/>
        </w:rPr>
        <w:t xml:space="preserve">Juicio de Inconformidad TET-JI-01/2025-III y sus acumulados TET-JI-02/2025-III y TET-JI-03/2025-III promovidos por Aída María Morales Pérez, en su carácter de Candidata a Jueza Civil en el Distrito Judicial </w:t>
      </w:r>
      <w:r w:rsidR="00AC28E7" w:rsidRPr="00534D30">
        <w:rPr>
          <w:rFonts w:ascii="Arial" w:eastAsia="Times New Roman" w:hAnsi="Arial" w:cs="Arial"/>
          <w:color w:val="auto"/>
          <w:sz w:val="22"/>
          <w:szCs w:val="22"/>
          <w:lang w:eastAsia="es-MX"/>
        </w:rPr>
        <w:t xml:space="preserve">15  del municipio </w:t>
      </w:r>
      <w:r w:rsidRPr="00534D30">
        <w:rPr>
          <w:rFonts w:ascii="Arial" w:eastAsia="Times New Roman" w:hAnsi="Arial" w:cs="Arial"/>
          <w:color w:val="auto"/>
          <w:sz w:val="22"/>
          <w:szCs w:val="22"/>
          <w:lang w:eastAsia="es-MX"/>
        </w:rPr>
        <w:t xml:space="preserve">de Jalapa, Tabasco, en contra de </w:t>
      </w:r>
      <w:r w:rsidR="00AC28E7" w:rsidRPr="00534D30">
        <w:rPr>
          <w:rFonts w:ascii="Arial" w:eastAsia="Times New Roman" w:hAnsi="Arial" w:cs="Arial"/>
          <w:color w:val="auto"/>
          <w:sz w:val="22"/>
          <w:szCs w:val="22"/>
          <w:lang w:eastAsia="es-MX"/>
        </w:rPr>
        <w:t xml:space="preserve">la </w:t>
      </w:r>
      <w:r w:rsidR="00C37D93" w:rsidRPr="00534D30">
        <w:rPr>
          <w:rFonts w:ascii="Arial" w:eastAsia="Times New Roman" w:hAnsi="Arial" w:cs="Arial"/>
          <w:color w:val="auto"/>
          <w:sz w:val="22"/>
          <w:szCs w:val="22"/>
          <w:lang w:eastAsia="es-MX"/>
        </w:rPr>
        <w:t>declaratoria de validez de la elección realizada por el Consejo Estatal,</w:t>
      </w:r>
      <w:r w:rsidR="00C37D93" w:rsidRPr="00534D30">
        <w:rPr>
          <w:rFonts w:ascii="Arial" w:hAnsi="Arial" w:cs="Arial"/>
          <w:color w:val="auto"/>
          <w:sz w:val="22"/>
          <w:szCs w:val="22"/>
        </w:rPr>
        <w:t xml:space="preserve"> la asignación de los cargos, específicamente, el de jueza civil en multicitado Distrito Judicial 15 </w:t>
      </w:r>
      <w:r w:rsidR="0034214B" w:rsidRPr="00534D30">
        <w:rPr>
          <w:rFonts w:ascii="Arial" w:hAnsi="Arial" w:cs="Arial"/>
          <w:color w:val="auto"/>
          <w:sz w:val="22"/>
          <w:szCs w:val="22"/>
        </w:rPr>
        <w:t>así</w:t>
      </w:r>
      <w:r w:rsidR="00C37D93" w:rsidRPr="00534D30">
        <w:rPr>
          <w:rFonts w:ascii="Arial" w:hAnsi="Arial" w:cs="Arial"/>
          <w:color w:val="auto"/>
          <w:sz w:val="22"/>
          <w:szCs w:val="22"/>
        </w:rPr>
        <w:t xml:space="preserve"> como el otorgamiento de la constancia de mayoría y validez que le fue entregada a la candidata a Maryeli Pérez Vargas.</w:t>
      </w:r>
    </w:p>
    <w:p w14:paraId="694A1B2B" w14:textId="4832418C" w:rsidR="001322F0" w:rsidRPr="00534D30" w:rsidRDefault="001322F0" w:rsidP="0034214B">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534D30">
        <w:rPr>
          <w:rFonts w:ascii="Arial" w:eastAsia="Times New Roman" w:hAnsi="Arial" w:cs="Arial"/>
          <w:color w:val="auto"/>
          <w:sz w:val="22"/>
          <w:szCs w:val="22"/>
          <w:lang w:eastAsia="es-MX"/>
        </w:rPr>
        <w:t>Jui</w:t>
      </w:r>
      <w:r w:rsidR="0036490A" w:rsidRPr="00534D30">
        <w:rPr>
          <w:rFonts w:ascii="Arial" w:eastAsia="Times New Roman" w:hAnsi="Arial" w:cs="Arial"/>
          <w:color w:val="auto"/>
          <w:sz w:val="22"/>
          <w:szCs w:val="22"/>
          <w:lang w:eastAsia="es-MX"/>
        </w:rPr>
        <w:t>cio de Inconformidad TET-JI-04/2025-I y su acumulado TET-JI-05/2025-I</w:t>
      </w:r>
      <w:r w:rsidRPr="00534D30">
        <w:rPr>
          <w:rFonts w:ascii="Arial" w:eastAsia="Times New Roman" w:hAnsi="Arial" w:cs="Arial"/>
          <w:color w:val="auto"/>
          <w:sz w:val="22"/>
          <w:szCs w:val="22"/>
          <w:lang w:eastAsia="es-MX"/>
        </w:rPr>
        <w:t xml:space="preserve"> promovido</w:t>
      </w:r>
      <w:r w:rsidR="0036490A" w:rsidRPr="00534D30">
        <w:rPr>
          <w:rFonts w:ascii="Arial" w:eastAsia="Times New Roman" w:hAnsi="Arial" w:cs="Arial"/>
          <w:color w:val="auto"/>
          <w:sz w:val="22"/>
          <w:szCs w:val="22"/>
          <w:lang w:eastAsia="es-MX"/>
        </w:rPr>
        <w:t>s</w:t>
      </w:r>
      <w:r w:rsidRPr="00534D30">
        <w:rPr>
          <w:rFonts w:ascii="Arial" w:eastAsia="Times New Roman" w:hAnsi="Arial" w:cs="Arial"/>
          <w:color w:val="auto"/>
          <w:sz w:val="22"/>
          <w:szCs w:val="22"/>
          <w:lang w:eastAsia="es-MX"/>
        </w:rPr>
        <w:t xml:space="preserve"> por Orbelín Ramírez Juárez, en su carácter de candidato no electo para Juez Primero en materia civil por el municipio de Paraíso, Tabasco, en contra de la declaración de validez </w:t>
      </w:r>
      <w:r w:rsidR="00A052F9" w:rsidRPr="00534D30">
        <w:rPr>
          <w:rFonts w:ascii="Arial" w:eastAsia="Times New Roman" w:hAnsi="Arial" w:cs="Arial"/>
          <w:color w:val="auto"/>
          <w:sz w:val="22"/>
          <w:szCs w:val="22"/>
          <w:lang w:eastAsia="es-MX"/>
        </w:rPr>
        <w:t>y la expedición de la constancia de mayoría respectiva.</w:t>
      </w:r>
    </w:p>
    <w:p w14:paraId="1270BC93" w14:textId="0A5BC361" w:rsidR="00A052F9" w:rsidRPr="00534D30" w:rsidRDefault="001322F0" w:rsidP="0034214B">
      <w:pPr>
        <w:pStyle w:val="Prrafodelista"/>
        <w:numPr>
          <w:ilvl w:val="0"/>
          <w:numId w:val="5"/>
        </w:numPr>
        <w:spacing w:before="240" w:line="281" w:lineRule="auto"/>
        <w:jc w:val="both"/>
        <w:rPr>
          <w:rFonts w:ascii="Arial" w:eastAsia="Times New Roman" w:hAnsi="Arial" w:cs="Arial"/>
          <w:b/>
          <w:color w:val="auto"/>
          <w:sz w:val="22"/>
          <w:szCs w:val="22"/>
          <w:lang w:eastAsia="es-MX"/>
        </w:rPr>
      </w:pPr>
      <w:r w:rsidRPr="00534D30">
        <w:rPr>
          <w:rFonts w:ascii="Arial" w:eastAsia="Times New Roman" w:hAnsi="Arial" w:cs="Arial"/>
          <w:b/>
          <w:color w:val="auto"/>
          <w:sz w:val="22"/>
          <w:szCs w:val="22"/>
          <w:lang w:eastAsia="es-MX"/>
        </w:rPr>
        <w:t>Medios de Impugnación Resueltos</w:t>
      </w:r>
    </w:p>
    <w:p w14:paraId="7D630CE4" w14:textId="4AF9CC0F" w:rsidR="00A052F9" w:rsidRPr="00534D30" w:rsidRDefault="00A052F9" w:rsidP="0034214B">
      <w:pPr>
        <w:pStyle w:val="Prrafodelista"/>
        <w:numPr>
          <w:ilvl w:val="1"/>
          <w:numId w:val="5"/>
        </w:numPr>
        <w:ind w:left="709"/>
        <w:jc w:val="both"/>
        <w:rPr>
          <w:rFonts w:ascii="Arial" w:hAnsi="Arial" w:cs="Arial"/>
          <w:b/>
          <w:color w:val="auto"/>
          <w:sz w:val="22"/>
          <w:szCs w:val="22"/>
          <w:shd w:val="clear" w:color="auto" w:fill="FFFFFF"/>
        </w:rPr>
      </w:pPr>
      <w:r w:rsidRPr="00534D30">
        <w:rPr>
          <w:rFonts w:ascii="Arial" w:hAnsi="Arial" w:cs="Arial"/>
          <w:b/>
          <w:color w:val="auto"/>
          <w:sz w:val="22"/>
          <w:szCs w:val="22"/>
          <w:shd w:val="clear" w:color="auto" w:fill="FFFFFF"/>
        </w:rPr>
        <w:t>Por el Tribunal Electoral de Tabasco</w:t>
      </w:r>
    </w:p>
    <w:p w14:paraId="0BE8355B" w14:textId="141F7654" w:rsidR="0036490A" w:rsidRPr="00534D30" w:rsidRDefault="00C37D93" w:rsidP="0034214B">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534D30">
        <w:rPr>
          <w:rFonts w:ascii="Arial" w:eastAsia="Times New Roman" w:hAnsi="Arial" w:cs="Arial"/>
          <w:color w:val="auto"/>
          <w:sz w:val="22"/>
          <w:szCs w:val="22"/>
          <w:lang w:eastAsia="es-MX"/>
        </w:rPr>
        <w:t xml:space="preserve">En el </w:t>
      </w:r>
      <w:r w:rsidR="0036490A" w:rsidRPr="00534D30">
        <w:rPr>
          <w:rFonts w:ascii="Arial" w:eastAsia="Times New Roman" w:hAnsi="Arial" w:cs="Arial"/>
          <w:color w:val="auto"/>
          <w:sz w:val="22"/>
          <w:szCs w:val="22"/>
          <w:lang w:eastAsia="es-MX"/>
        </w:rPr>
        <w:t xml:space="preserve">Juicio para la Protección de los Derechos Políticos – Electorales del Ciudadano TET-JDC-08/2025-I promovido por Roberto González Pedraza, Coordinador de Organización Electoral de este Instituto, en contra del Acuerdo CE/2025/057, por el que </w:t>
      </w:r>
      <w:r w:rsidRPr="00534D30">
        <w:rPr>
          <w:rFonts w:ascii="Arial" w:eastAsia="Times New Roman" w:hAnsi="Arial" w:cs="Arial"/>
          <w:color w:val="auto"/>
          <w:sz w:val="22"/>
          <w:szCs w:val="22"/>
          <w:lang w:eastAsia="es-MX"/>
        </w:rPr>
        <w:t>se aprobó</w:t>
      </w:r>
      <w:r w:rsidR="0036490A" w:rsidRPr="00534D30">
        <w:rPr>
          <w:rFonts w:ascii="Arial" w:eastAsia="Times New Roman" w:hAnsi="Arial" w:cs="Arial"/>
          <w:color w:val="auto"/>
          <w:sz w:val="22"/>
          <w:szCs w:val="22"/>
          <w:lang w:eastAsia="es-MX"/>
        </w:rPr>
        <w:t xml:space="preserve"> el dictamen para el otorgamiento a la Titularidad en el nivel del cargo </w:t>
      </w:r>
      <w:r w:rsidR="0036490A" w:rsidRPr="00534D30">
        <w:rPr>
          <w:rFonts w:ascii="Arial" w:eastAsia="Times New Roman" w:hAnsi="Arial" w:cs="Arial"/>
          <w:color w:val="auto"/>
          <w:sz w:val="22"/>
          <w:szCs w:val="22"/>
          <w:lang w:eastAsia="es-MX"/>
        </w:rPr>
        <w:lastRenderedPageBreak/>
        <w:t>o puesto que ocupa el personal del Servicio Profesional Electoral Nacional del propio Instituto, correspondiente al periodo de septiembre de 2020 a agosto de 2022. El Tribunal Electoral de Tabasco, mediante acuerdo plenario de 12 de ju</w:t>
      </w:r>
      <w:r w:rsidRPr="00534D30">
        <w:rPr>
          <w:rFonts w:ascii="Arial" w:eastAsia="Times New Roman" w:hAnsi="Arial" w:cs="Arial"/>
          <w:color w:val="auto"/>
          <w:sz w:val="22"/>
          <w:szCs w:val="22"/>
          <w:lang w:eastAsia="es-MX"/>
        </w:rPr>
        <w:t xml:space="preserve">nio de 2025, propuso su reencauzamiento como </w:t>
      </w:r>
      <w:r w:rsidR="0036490A" w:rsidRPr="00534D30">
        <w:rPr>
          <w:rFonts w:ascii="Arial" w:eastAsia="Times New Roman" w:hAnsi="Arial" w:cs="Arial"/>
          <w:color w:val="auto"/>
          <w:sz w:val="22"/>
          <w:szCs w:val="22"/>
          <w:lang w:eastAsia="es-MX"/>
        </w:rPr>
        <w:t>Juicio para Dirimir</w:t>
      </w:r>
      <w:r w:rsidRPr="00534D30">
        <w:rPr>
          <w:rFonts w:ascii="Arial" w:eastAsia="Times New Roman" w:hAnsi="Arial" w:cs="Arial"/>
          <w:color w:val="auto"/>
          <w:sz w:val="22"/>
          <w:szCs w:val="22"/>
          <w:lang w:eastAsia="es-MX"/>
        </w:rPr>
        <w:t xml:space="preserve"> las diferencias o</w:t>
      </w:r>
      <w:r w:rsidR="0036490A" w:rsidRPr="00534D30">
        <w:rPr>
          <w:rFonts w:ascii="Arial" w:eastAsia="Times New Roman" w:hAnsi="Arial" w:cs="Arial"/>
          <w:color w:val="auto"/>
          <w:sz w:val="22"/>
          <w:szCs w:val="22"/>
          <w:lang w:eastAsia="es-MX"/>
        </w:rPr>
        <w:t xml:space="preserve"> Conflictos Laborales (JLI) en virtud de que, los agravios esgrimidos por la parte actora </w:t>
      </w:r>
      <w:r w:rsidR="00AE24B5" w:rsidRPr="00534D30">
        <w:rPr>
          <w:rFonts w:ascii="Arial" w:eastAsia="Times New Roman" w:hAnsi="Arial" w:cs="Arial"/>
          <w:color w:val="auto"/>
          <w:sz w:val="22"/>
          <w:szCs w:val="22"/>
          <w:lang w:eastAsia="es-MX"/>
        </w:rPr>
        <w:t>derivan de un conflicto laboral y no están relacionados con los derechos de votar, ser votado, de afiliación o de integración de las autoridades electorales.</w:t>
      </w:r>
    </w:p>
    <w:p w14:paraId="31BE4363" w14:textId="052AFEAD" w:rsidR="001322F0" w:rsidRPr="00534D30" w:rsidRDefault="00C37D93" w:rsidP="0034214B">
      <w:pPr>
        <w:pStyle w:val="Prrafodelista"/>
        <w:numPr>
          <w:ilvl w:val="2"/>
          <w:numId w:val="5"/>
        </w:numPr>
        <w:spacing w:before="240" w:line="281" w:lineRule="auto"/>
        <w:ind w:left="709" w:hanging="655"/>
        <w:jc w:val="both"/>
        <w:rPr>
          <w:rFonts w:ascii="Arial" w:eastAsia="Times New Roman" w:hAnsi="Arial" w:cs="Arial"/>
          <w:color w:val="auto"/>
          <w:sz w:val="22"/>
          <w:szCs w:val="22"/>
          <w:lang w:eastAsia="es-MX"/>
        </w:rPr>
      </w:pPr>
      <w:r w:rsidRPr="00534D30">
        <w:rPr>
          <w:rFonts w:ascii="Arial" w:eastAsia="Times New Roman" w:hAnsi="Arial" w:cs="Arial"/>
          <w:color w:val="auto"/>
          <w:sz w:val="22"/>
          <w:szCs w:val="22"/>
          <w:lang w:eastAsia="es-MX"/>
        </w:rPr>
        <w:t xml:space="preserve">En el </w:t>
      </w:r>
      <w:r w:rsidR="001322F0" w:rsidRPr="00534D30">
        <w:rPr>
          <w:rFonts w:ascii="Arial" w:eastAsia="Times New Roman" w:hAnsi="Arial" w:cs="Arial"/>
          <w:color w:val="auto"/>
          <w:sz w:val="22"/>
          <w:szCs w:val="22"/>
          <w:lang w:eastAsia="es-MX"/>
        </w:rPr>
        <w:t xml:space="preserve">Recurso de Apelación </w:t>
      </w:r>
      <w:r w:rsidR="0034214B" w:rsidRPr="00534D30">
        <w:rPr>
          <w:rFonts w:ascii="Arial" w:eastAsia="Times New Roman" w:hAnsi="Arial" w:cs="Arial"/>
          <w:color w:val="auto"/>
          <w:sz w:val="22"/>
          <w:szCs w:val="22"/>
          <w:lang w:eastAsia="es-MX"/>
        </w:rPr>
        <w:t xml:space="preserve">TET-AP-01/2025-II </w:t>
      </w:r>
      <w:r w:rsidR="001322F0" w:rsidRPr="00534D30">
        <w:rPr>
          <w:rFonts w:ascii="Arial" w:eastAsia="Times New Roman" w:hAnsi="Arial" w:cs="Arial"/>
          <w:color w:val="auto"/>
          <w:sz w:val="22"/>
          <w:szCs w:val="22"/>
          <w:lang w:eastAsia="es-MX"/>
        </w:rPr>
        <w:t>interpuesto por el Partido de la Revolución Democrática Tabasco, a través de su Representante Propietario ante el Consejo Estatal de este Instituto, en contra de la Resolución por la que se declaró la inexistencia de la difusión de informes de labores en periodo no permitido, promoción personalizada en propagand</w:t>
      </w:r>
      <w:bookmarkStart w:id="0" w:name="_GoBack"/>
      <w:bookmarkEnd w:id="0"/>
      <w:r w:rsidR="001322F0" w:rsidRPr="00534D30">
        <w:rPr>
          <w:rFonts w:ascii="Arial" w:eastAsia="Times New Roman" w:hAnsi="Arial" w:cs="Arial"/>
          <w:color w:val="auto"/>
          <w:sz w:val="22"/>
          <w:szCs w:val="22"/>
          <w:lang w:eastAsia="es-MX"/>
        </w:rPr>
        <w:t>a gubernamental y el uso indebido de recursos públicos atribuibles al ciudadano Javier May Rodríguez, Gobernador Constitucional del Estado de Tabasco, con motivo del Procedimiento Es</w:t>
      </w:r>
      <w:r w:rsidR="00A052F9" w:rsidRPr="00534D30">
        <w:rPr>
          <w:rFonts w:ascii="Arial" w:eastAsia="Times New Roman" w:hAnsi="Arial" w:cs="Arial"/>
          <w:color w:val="auto"/>
          <w:sz w:val="22"/>
          <w:szCs w:val="22"/>
          <w:lang w:eastAsia="es-MX"/>
        </w:rPr>
        <w:t>pecial Sancionador PES/001/2025. En sesión pública</w:t>
      </w:r>
      <w:r w:rsidR="0034214B" w:rsidRPr="00534D30">
        <w:rPr>
          <w:rFonts w:ascii="Arial" w:eastAsia="Times New Roman" w:hAnsi="Arial" w:cs="Arial"/>
          <w:color w:val="auto"/>
          <w:sz w:val="22"/>
          <w:szCs w:val="22"/>
          <w:lang w:eastAsia="es-MX"/>
        </w:rPr>
        <w:t xml:space="preserve"> de fecha 19 de junio de 2025, e</w:t>
      </w:r>
      <w:r w:rsidR="00A052F9" w:rsidRPr="00534D30">
        <w:rPr>
          <w:rFonts w:ascii="Arial" w:eastAsia="Times New Roman" w:hAnsi="Arial" w:cs="Arial"/>
          <w:color w:val="auto"/>
          <w:sz w:val="22"/>
          <w:szCs w:val="22"/>
          <w:lang w:eastAsia="es-MX"/>
        </w:rPr>
        <w:t>l Tribunal Electoral de Tabasco confirmó la resolución impugnada al declarar infundados los agravios expuestos por la parte actora.</w:t>
      </w:r>
    </w:p>
    <w:p w14:paraId="6A6C8BDE" w14:textId="48A8B6AC" w:rsidR="00FC38FC" w:rsidRDefault="00FC38FC" w:rsidP="0034214B">
      <w:pPr>
        <w:spacing w:before="240" w:line="281" w:lineRule="auto"/>
        <w:jc w:val="both"/>
        <w:rPr>
          <w:rFonts w:ascii="Arial" w:eastAsia="Times New Roman" w:hAnsi="Arial" w:cs="Arial"/>
          <w:lang w:eastAsia="es-MX"/>
        </w:rPr>
      </w:pPr>
    </w:p>
    <w:p w14:paraId="0B74C0A6" w14:textId="77777777" w:rsidR="00534D30" w:rsidRPr="00534D30" w:rsidRDefault="00534D30" w:rsidP="0034214B">
      <w:pPr>
        <w:spacing w:before="240" w:line="281" w:lineRule="auto"/>
        <w:jc w:val="both"/>
        <w:rPr>
          <w:rFonts w:ascii="Arial" w:eastAsia="Times New Roman" w:hAnsi="Arial" w:cs="Arial"/>
          <w:lang w:eastAsia="es-MX"/>
        </w:rPr>
      </w:pPr>
    </w:p>
    <w:p w14:paraId="777C4826" w14:textId="7A778112" w:rsidR="00711200" w:rsidRPr="00534D30" w:rsidRDefault="003776C8" w:rsidP="0034214B">
      <w:pPr>
        <w:spacing w:before="240" w:line="281" w:lineRule="auto"/>
        <w:jc w:val="center"/>
        <w:rPr>
          <w:rFonts w:ascii="Arial" w:hAnsi="Arial" w:cs="Arial"/>
          <w:b/>
        </w:rPr>
      </w:pPr>
      <w:r w:rsidRPr="00534D30">
        <w:rPr>
          <w:rFonts w:ascii="Arial" w:hAnsi="Arial" w:cs="Arial"/>
          <w:b/>
        </w:rPr>
        <w:t>ATENTAMENTE</w:t>
      </w:r>
    </w:p>
    <w:p w14:paraId="559F9BE1" w14:textId="77777777" w:rsidR="00494208" w:rsidRPr="00534D30" w:rsidRDefault="00494208" w:rsidP="0034214B">
      <w:pPr>
        <w:spacing w:before="240" w:line="281" w:lineRule="auto"/>
        <w:jc w:val="center"/>
        <w:rPr>
          <w:rFonts w:ascii="Arial" w:hAnsi="Arial" w:cs="Arial"/>
          <w:b/>
        </w:rPr>
      </w:pPr>
    </w:p>
    <w:p w14:paraId="467456FF" w14:textId="77777777" w:rsidR="00951659" w:rsidRPr="00534D30" w:rsidRDefault="00951659" w:rsidP="0034214B">
      <w:pPr>
        <w:spacing w:before="240" w:after="240" w:line="281" w:lineRule="auto"/>
        <w:jc w:val="center"/>
        <w:rPr>
          <w:rFonts w:ascii="Arial" w:hAnsi="Arial" w:cs="Arial"/>
          <w:b/>
        </w:rPr>
      </w:pPr>
    </w:p>
    <w:p w14:paraId="75E8E073" w14:textId="124DFD73" w:rsidR="00711200" w:rsidRPr="00534D30" w:rsidRDefault="003776C8" w:rsidP="0034214B">
      <w:pPr>
        <w:spacing w:after="0" w:line="281" w:lineRule="auto"/>
        <w:jc w:val="center"/>
        <w:rPr>
          <w:rFonts w:ascii="Arial" w:hAnsi="Arial" w:cs="Arial"/>
          <w:b/>
        </w:rPr>
      </w:pPr>
      <w:r w:rsidRPr="00534D30">
        <w:rPr>
          <w:rFonts w:ascii="Arial" w:hAnsi="Arial" w:cs="Arial"/>
          <w:b/>
        </w:rPr>
        <w:t>LIC. JORGE ALBERTO ZAVALA FRÍAS</w:t>
      </w:r>
    </w:p>
    <w:p w14:paraId="01F7855B" w14:textId="20351C18" w:rsidR="00711200" w:rsidRPr="00534D30" w:rsidRDefault="003776C8" w:rsidP="0034214B">
      <w:pPr>
        <w:spacing w:after="0" w:line="281" w:lineRule="auto"/>
        <w:jc w:val="center"/>
        <w:rPr>
          <w:rFonts w:ascii="Arial" w:hAnsi="Arial" w:cs="Arial"/>
        </w:rPr>
      </w:pPr>
      <w:r w:rsidRPr="00534D30">
        <w:rPr>
          <w:rFonts w:ascii="Arial" w:hAnsi="Arial" w:cs="Arial"/>
          <w:b/>
        </w:rPr>
        <w:t>SECRETARIO EJECUTIVO</w:t>
      </w:r>
    </w:p>
    <w:p w14:paraId="0FC3A4FD" w14:textId="77777777" w:rsidR="00CE4C13" w:rsidRPr="00534D30" w:rsidRDefault="00CE4C13" w:rsidP="0034214B">
      <w:pPr>
        <w:spacing w:before="240" w:line="281" w:lineRule="auto"/>
        <w:jc w:val="center"/>
        <w:rPr>
          <w:rFonts w:ascii="Arial" w:hAnsi="Arial" w:cs="Arial"/>
          <w:color w:val="FF0000"/>
        </w:rPr>
      </w:pPr>
    </w:p>
    <w:sectPr w:rsidR="00CE4C13" w:rsidRPr="00534D30" w:rsidSect="00A052F9">
      <w:headerReference w:type="default" r:id="rId8"/>
      <w:footerReference w:type="default" r:id="rId9"/>
      <w:pgSz w:w="12240" w:h="15840" w:code="1"/>
      <w:pgMar w:top="2836"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525A9" w14:textId="77777777" w:rsidR="00396575" w:rsidRDefault="00396575">
      <w:pPr>
        <w:spacing w:after="0" w:line="240" w:lineRule="auto"/>
      </w:pPr>
      <w:r>
        <w:separator/>
      </w:r>
    </w:p>
  </w:endnote>
  <w:endnote w:type="continuationSeparator" w:id="0">
    <w:p w14:paraId="6E894C49" w14:textId="77777777" w:rsidR="00396575" w:rsidRDefault="00396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charset w:val="00"/>
    <w:family w:val="swiss"/>
    <w:pitch w:val="variable"/>
    <w:sig w:usb0="00000001" w:usb1="D000204B" w:usb2="00010000" w:usb3="00000000" w:csb0="0000019F" w:csb1="00000000"/>
    <w:embedRegular r:id="rId1" w:fontKey="{D3D996FE-334C-4C9E-B18D-EBB0BF1E4BC2}"/>
    <w:embedBold r:id="rId2" w:fontKey="{E09F1583-A2A7-42B1-B2A0-E7BAFFE9EEDA}"/>
    <w:embedItalic r:id="rId3" w:fontKey="{05FAC9DB-03B7-4942-98D7-E068A0B7D1C9}"/>
  </w:font>
  <w:font w:name="Georgia">
    <w:panose1 w:val="02040502050405020303"/>
    <w:charset w:val="00"/>
    <w:family w:val="roman"/>
    <w:pitch w:val="variable"/>
    <w:sig w:usb0="00000287" w:usb1="00000000" w:usb2="00000000" w:usb3="00000000" w:csb0="0000009F" w:csb1="00000000"/>
    <w:embedRegular r:id="rId4" w:fontKey="{E50AA5C8-4764-4684-9E47-F0B7B1A07442}"/>
  </w:font>
  <w:font w:name="Segoe UI">
    <w:panose1 w:val="020B0502040204020203"/>
    <w:charset w:val="00"/>
    <w:family w:val="swiss"/>
    <w:pitch w:val="variable"/>
    <w:sig w:usb0="E4002EFF" w:usb1="C000E47F" w:usb2="00000009" w:usb3="00000000" w:csb0="000001FF" w:csb1="00000000"/>
    <w:embedRegular r:id="rId5" w:fontKey="{7C288300-A436-4E96-8F69-EB165053CB41}"/>
  </w:font>
  <w:font w:name="Yu Gothic UI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id w:val="577177830"/>
      <w:docPartObj>
        <w:docPartGallery w:val="Page Numbers (Bottom of Page)"/>
        <w:docPartUnique/>
      </w:docPartObj>
    </w:sdtPr>
    <w:sdtEndPr>
      <w:rPr>
        <w:rFonts w:ascii="Arial" w:hAnsi="Arial" w:cs="Arial"/>
        <w:b/>
        <w:color w:val="993366"/>
      </w:rPr>
    </w:sdtEndPr>
    <w:sdtContent>
      <w:sdt>
        <w:sdtPr>
          <w:rPr>
            <w:rFonts w:ascii="Arial" w:hAnsi="Arial" w:cs="Arial"/>
            <w:b/>
            <w:color w:val="993366"/>
            <w:sz w:val="24"/>
            <w:szCs w:val="24"/>
          </w:rPr>
          <w:id w:val="-1741631649"/>
          <w:docPartObj>
            <w:docPartGallery w:val="Page Numbers (Top of Page)"/>
            <w:docPartUnique/>
          </w:docPartObj>
        </w:sdtPr>
        <w:sdtEndPr/>
        <w:sdtContent>
          <w:p w14:paraId="514926DC" w14:textId="6B38D05D" w:rsidR="001322F0" w:rsidRPr="00534D30" w:rsidRDefault="001322F0">
            <w:pPr>
              <w:pStyle w:val="Piedepgina"/>
              <w:jc w:val="right"/>
              <w:rPr>
                <w:rFonts w:ascii="Arial" w:hAnsi="Arial" w:cs="Arial"/>
                <w:b/>
                <w:color w:val="993366"/>
                <w:sz w:val="24"/>
                <w:szCs w:val="24"/>
              </w:rPr>
            </w:pPr>
            <w:r w:rsidRPr="00534D30">
              <w:rPr>
                <w:rFonts w:ascii="Arial" w:hAnsi="Arial" w:cs="Arial"/>
                <w:b/>
                <w:color w:val="993366"/>
                <w:sz w:val="24"/>
                <w:szCs w:val="24"/>
                <w:lang w:val="es-ES"/>
              </w:rPr>
              <w:t xml:space="preserve">Página </w:t>
            </w:r>
            <w:r w:rsidRPr="00534D30">
              <w:rPr>
                <w:rFonts w:ascii="Arial" w:hAnsi="Arial" w:cs="Arial"/>
                <w:b/>
                <w:bCs/>
                <w:color w:val="993366"/>
                <w:sz w:val="24"/>
                <w:szCs w:val="24"/>
              </w:rPr>
              <w:fldChar w:fldCharType="begin"/>
            </w:r>
            <w:r w:rsidRPr="00534D30">
              <w:rPr>
                <w:rFonts w:ascii="Arial" w:hAnsi="Arial" w:cs="Arial"/>
                <w:b/>
                <w:bCs/>
                <w:color w:val="993366"/>
                <w:sz w:val="24"/>
                <w:szCs w:val="24"/>
              </w:rPr>
              <w:instrText>PAGE</w:instrText>
            </w:r>
            <w:r w:rsidRPr="00534D30">
              <w:rPr>
                <w:rFonts w:ascii="Arial" w:hAnsi="Arial" w:cs="Arial"/>
                <w:b/>
                <w:bCs/>
                <w:color w:val="993366"/>
                <w:sz w:val="24"/>
                <w:szCs w:val="24"/>
              </w:rPr>
              <w:fldChar w:fldCharType="separate"/>
            </w:r>
            <w:r w:rsidR="00A555C8">
              <w:rPr>
                <w:rFonts w:ascii="Arial" w:hAnsi="Arial" w:cs="Arial"/>
                <w:b/>
                <w:bCs/>
                <w:noProof/>
                <w:color w:val="993366"/>
                <w:sz w:val="24"/>
                <w:szCs w:val="24"/>
              </w:rPr>
              <w:t>2</w:t>
            </w:r>
            <w:r w:rsidRPr="00534D30">
              <w:rPr>
                <w:rFonts w:ascii="Arial" w:hAnsi="Arial" w:cs="Arial"/>
                <w:b/>
                <w:bCs/>
                <w:color w:val="993366"/>
                <w:sz w:val="24"/>
                <w:szCs w:val="24"/>
              </w:rPr>
              <w:fldChar w:fldCharType="end"/>
            </w:r>
            <w:r w:rsidRPr="00534D30">
              <w:rPr>
                <w:rFonts w:ascii="Arial" w:hAnsi="Arial" w:cs="Arial"/>
                <w:b/>
                <w:color w:val="993366"/>
                <w:sz w:val="24"/>
                <w:szCs w:val="24"/>
                <w:lang w:val="es-ES"/>
              </w:rPr>
              <w:t xml:space="preserve"> de </w:t>
            </w:r>
            <w:r w:rsidRPr="00534D30">
              <w:rPr>
                <w:rFonts w:ascii="Arial" w:hAnsi="Arial" w:cs="Arial"/>
                <w:b/>
                <w:bCs/>
                <w:color w:val="993366"/>
                <w:sz w:val="24"/>
                <w:szCs w:val="24"/>
              </w:rPr>
              <w:fldChar w:fldCharType="begin"/>
            </w:r>
            <w:r w:rsidRPr="00534D30">
              <w:rPr>
                <w:rFonts w:ascii="Arial" w:hAnsi="Arial" w:cs="Arial"/>
                <w:b/>
                <w:bCs/>
                <w:color w:val="993366"/>
                <w:sz w:val="24"/>
                <w:szCs w:val="24"/>
              </w:rPr>
              <w:instrText>NUMPAGES</w:instrText>
            </w:r>
            <w:r w:rsidRPr="00534D30">
              <w:rPr>
                <w:rFonts w:ascii="Arial" w:hAnsi="Arial" w:cs="Arial"/>
                <w:b/>
                <w:bCs/>
                <w:color w:val="993366"/>
                <w:sz w:val="24"/>
                <w:szCs w:val="24"/>
              </w:rPr>
              <w:fldChar w:fldCharType="separate"/>
            </w:r>
            <w:r w:rsidR="00A555C8">
              <w:rPr>
                <w:rFonts w:ascii="Arial" w:hAnsi="Arial" w:cs="Arial"/>
                <w:b/>
                <w:bCs/>
                <w:noProof/>
                <w:color w:val="993366"/>
                <w:sz w:val="24"/>
                <w:szCs w:val="24"/>
              </w:rPr>
              <w:t>2</w:t>
            </w:r>
            <w:r w:rsidRPr="00534D30">
              <w:rPr>
                <w:rFonts w:ascii="Arial" w:hAnsi="Arial" w:cs="Arial"/>
                <w:b/>
                <w:bCs/>
                <w:color w:val="993366"/>
                <w:sz w:val="24"/>
                <w:szCs w:val="24"/>
              </w:rPr>
              <w:fldChar w:fldCharType="end"/>
            </w:r>
          </w:p>
        </w:sdtContent>
      </w:sdt>
    </w:sdtContent>
  </w:sdt>
  <w:p w14:paraId="7E6494AB" w14:textId="77777777" w:rsidR="001322F0" w:rsidRDefault="001322F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0A3AF" w14:textId="77777777" w:rsidR="00396575" w:rsidRDefault="00396575">
      <w:pPr>
        <w:spacing w:after="0" w:line="240" w:lineRule="auto"/>
      </w:pPr>
      <w:r>
        <w:separator/>
      </w:r>
    </w:p>
  </w:footnote>
  <w:footnote w:type="continuationSeparator" w:id="0">
    <w:p w14:paraId="1CDE6563" w14:textId="77777777" w:rsidR="00396575" w:rsidRDefault="00396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1322F0" w14:paraId="3E23DA36" w14:textId="77777777" w:rsidTr="004C4B79">
      <w:tc>
        <w:tcPr>
          <w:tcW w:w="1748" w:type="dxa"/>
          <w:tcBorders>
            <w:bottom w:val="single" w:sz="8" w:space="0" w:color="auto"/>
          </w:tcBorders>
        </w:tcPr>
        <w:p w14:paraId="6C2DEFBC" w14:textId="77777777" w:rsidR="001322F0" w:rsidRDefault="001322F0" w:rsidP="004C4B79">
          <w:pPr>
            <w:pStyle w:val="Encabezado"/>
            <w:jc w:val="center"/>
          </w:pPr>
          <w:r>
            <w:rPr>
              <w:noProof/>
              <w:lang w:eastAsia="es-MX"/>
            </w:rPr>
            <w:drawing>
              <wp:inline distT="0" distB="0" distL="0" distR="0" wp14:anchorId="54951437" wp14:editId="763562EF">
                <wp:extent cx="838200" cy="6878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1322F0" w:rsidRPr="000A3855" w:rsidRDefault="001322F0"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1322F0" w14:paraId="73471E4A" w14:textId="77777777" w:rsidTr="004C4B79">
      <w:tc>
        <w:tcPr>
          <w:tcW w:w="1748" w:type="dxa"/>
          <w:tcBorders>
            <w:top w:val="single" w:sz="8" w:space="0" w:color="auto"/>
          </w:tcBorders>
        </w:tcPr>
        <w:p w14:paraId="00773179" w14:textId="77777777" w:rsidR="001322F0" w:rsidRPr="000A3855" w:rsidRDefault="001322F0"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1322F0" w:rsidRPr="00322F64" w:rsidRDefault="001322F0"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1322F0" w:rsidRDefault="001322F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74D38"/>
    <w:multiLevelType w:val="multilevel"/>
    <w:tmpl w:val="7C9CF954"/>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4C38"/>
    <w:rsid w:val="000B5EBE"/>
    <w:rsid w:val="000C5C7B"/>
    <w:rsid w:val="000D3139"/>
    <w:rsid w:val="000D3698"/>
    <w:rsid w:val="000D4A0B"/>
    <w:rsid w:val="000D7259"/>
    <w:rsid w:val="000E3FB7"/>
    <w:rsid w:val="000E6004"/>
    <w:rsid w:val="000F11DC"/>
    <w:rsid w:val="000F5DE4"/>
    <w:rsid w:val="00103056"/>
    <w:rsid w:val="00105BCF"/>
    <w:rsid w:val="00123B4D"/>
    <w:rsid w:val="001322F0"/>
    <w:rsid w:val="0013410C"/>
    <w:rsid w:val="00136E6E"/>
    <w:rsid w:val="00144B63"/>
    <w:rsid w:val="00150BEC"/>
    <w:rsid w:val="00156313"/>
    <w:rsid w:val="00157840"/>
    <w:rsid w:val="00160834"/>
    <w:rsid w:val="00180836"/>
    <w:rsid w:val="00180A36"/>
    <w:rsid w:val="00186844"/>
    <w:rsid w:val="00191219"/>
    <w:rsid w:val="001A0208"/>
    <w:rsid w:val="001A14BD"/>
    <w:rsid w:val="001A2FBD"/>
    <w:rsid w:val="001A5368"/>
    <w:rsid w:val="001B58D9"/>
    <w:rsid w:val="001B6063"/>
    <w:rsid w:val="001C32CE"/>
    <w:rsid w:val="001C3950"/>
    <w:rsid w:val="001C4ED7"/>
    <w:rsid w:val="001C511F"/>
    <w:rsid w:val="001C6A2C"/>
    <w:rsid w:val="001D50C3"/>
    <w:rsid w:val="001E19E2"/>
    <w:rsid w:val="001E20B2"/>
    <w:rsid w:val="001E5C28"/>
    <w:rsid w:val="001F3126"/>
    <w:rsid w:val="002021A9"/>
    <w:rsid w:val="002076CB"/>
    <w:rsid w:val="00212B64"/>
    <w:rsid w:val="0021411B"/>
    <w:rsid w:val="0021437C"/>
    <w:rsid w:val="00215BC3"/>
    <w:rsid w:val="00222F2D"/>
    <w:rsid w:val="002275F6"/>
    <w:rsid w:val="002354E7"/>
    <w:rsid w:val="002403FC"/>
    <w:rsid w:val="002418F3"/>
    <w:rsid w:val="002458E8"/>
    <w:rsid w:val="00250189"/>
    <w:rsid w:val="00252505"/>
    <w:rsid w:val="0026655B"/>
    <w:rsid w:val="00267418"/>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A4FAB"/>
    <w:rsid w:val="002C0958"/>
    <w:rsid w:val="002C0DC0"/>
    <w:rsid w:val="002C2FD1"/>
    <w:rsid w:val="002C7A43"/>
    <w:rsid w:val="002D28BE"/>
    <w:rsid w:val="002D38FB"/>
    <w:rsid w:val="002D3D1A"/>
    <w:rsid w:val="002D588E"/>
    <w:rsid w:val="002E3AE3"/>
    <w:rsid w:val="002E7845"/>
    <w:rsid w:val="002F020E"/>
    <w:rsid w:val="002F2651"/>
    <w:rsid w:val="002F589D"/>
    <w:rsid w:val="002F5F2D"/>
    <w:rsid w:val="00306F70"/>
    <w:rsid w:val="00306FBF"/>
    <w:rsid w:val="00307FE0"/>
    <w:rsid w:val="0031391A"/>
    <w:rsid w:val="003139A4"/>
    <w:rsid w:val="00314D5B"/>
    <w:rsid w:val="0032307B"/>
    <w:rsid w:val="00326EE8"/>
    <w:rsid w:val="003343DA"/>
    <w:rsid w:val="00337431"/>
    <w:rsid w:val="0034214B"/>
    <w:rsid w:val="003505A7"/>
    <w:rsid w:val="00357C9F"/>
    <w:rsid w:val="0036129A"/>
    <w:rsid w:val="0036456F"/>
    <w:rsid w:val="0036490A"/>
    <w:rsid w:val="00364F1A"/>
    <w:rsid w:val="003669F9"/>
    <w:rsid w:val="00372F37"/>
    <w:rsid w:val="003776C8"/>
    <w:rsid w:val="00377EC2"/>
    <w:rsid w:val="003827BC"/>
    <w:rsid w:val="00386AAD"/>
    <w:rsid w:val="00393C2B"/>
    <w:rsid w:val="00396575"/>
    <w:rsid w:val="003A4C8E"/>
    <w:rsid w:val="003A617E"/>
    <w:rsid w:val="003A6C33"/>
    <w:rsid w:val="003B238E"/>
    <w:rsid w:val="003B397C"/>
    <w:rsid w:val="003B735C"/>
    <w:rsid w:val="003C240A"/>
    <w:rsid w:val="003D02E6"/>
    <w:rsid w:val="003D1C78"/>
    <w:rsid w:val="003D2A99"/>
    <w:rsid w:val="003F2143"/>
    <w:rsid w:val="003F2F41"/>
    <w:rsid w:val="003F32E5"/>
    <w:rsid w:val="003F547B"/>
    <w:rsid w:val="00401CA7"/>
    <w:rsid w:val="00402EEB"/>
    <w:rsid w:val="0041121D"/>
    <w:rsid w:val="0041268D"/>
    <w:rsid w:val="0041295E"/>
    <w:rsid w:val="00427A95"/>
    <w:rsid w:val="004301A5"/>
    <w:rsid w:val="00431407"/>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810DA"/>
    <w:rsid w:val="00494208"/>
    <w:rsid w:val="0049577A"/>
    <w:rsid w:val="004A740D"/>
    <w:rsid w:val="004A7E1C"/>
    <w:rsid w:val="004B5579"/>
    <w:rsid w:val="004C26CE"/>
    <w:rsid w:val="004C3CE7"/>
    <w:rsid w:val="004C4B79"/>
    <w:rsid w:val="004C77CA"/>
    <w:rsid w:val="004D22AC"/>
    <w:rsid w:val="004D76E1"/>
    <w:rsid w:val="004E3727"/>
    <w:rsid w:val="004F18B0"/>
    <w:rsid w:val="004F7A1F"/>
    <w:rsid w:val="005017DA"/>
    <w:rsid w:val="0050481D"/>
    <w:rsid w:val="00505D6E"/>
    <w:rsid w:val="005144C0"/>
    <w:rsid w:val="00515351"/>
    <w:rsid w:val="00517BE5"/>
    <w:rsid w:val="00517DFB"/>
    <w:rsid w:val="00523E26"/>
    <w:rsid w:val="00534D30"/>
    <w:rsid w:val="005367CE"/>
    <w:rsid w:val="005404E2"/>
    <w:rsid w:val="00540D54"/>
    <w:rsid w:val="00544115"/>
    <w:rsid w:val="00564058"/>
    <w:rsid w:val="00565D47"/>
    <w:rsid w:val="00570245"/>
    <w:rsid w:val="00577911"/>
    <w:rsid w:val="00582315"/>
    <w:rsid w:val="00592ADE"/>
    <w:rsid w:val="00597DCB"/>
    <w:rsid w:val="005A74AF"/>
    <w:rsid w:val="005C17B2"/>
    <w:rsid w:val="005C424E"/>
    <w:rsid w:val="005D360A"/>
    <w:rsid w:val="005D68F3"/>
    <w:rsid w:val="005F4B5D"/>
    <w:rsid w:val="0061294A"/>
    <w:rsid w:val="00612DA2"/>
    <w:rsid w:val="006160F3"/>
    <w:rsid w:val="006246A5"/>
    <w:rsid w:val="0063165C"/>
    <w:rsid w:val="006512FD"/>
    <w:rsid w:val="00661B0B"/>
    <w:rsid w:val="0066370C"/>
    <w:rsid w:val="00663E8E"/>
    <w:rsid w:val="006764C0"/>
    <w:rsid w:val="006813E1"/>
    <w:rsid w:val="006879C6"/>
    <w:rsid w:val="00687C41"/>
    <w:rsid w:val="006A1C24"/>
    <w:rsid w:val="006B7237"/>
    <w:rsid w:val="006C7B23"/>
    <w:rsid w:val="006D7B19"/>
    <w:rsid w:val="006D7DCC"/>
    <w:rsid w:val="006E1D1E"/>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43345"/>
    <w:rsid w:val="00751533"/>
    <w:rsid w:val="00756DA1"/>
    <w:rsid w:val="0076153C"/>
    <w:rsid w:val="007616B4"/>
    <w:rsid w:val="00767BF7"/>
    <w:rsid w:val="00774B4B"/>
    <w:rsid w:val="00776019"/>
    <w:rsid w:val="0077610D"/>
    <w:rsid w:val="00787912"/>
    <w:rsid w:val="00790A51"/>
    <w:rsid w:val="007914B0"/>
    <w:rsid w:val="00797FF3"/>
    <w:rsid w:val="007A04EE"/>
    <w:rsid w:val="007A1080"/>
    <w:rsid w:val="007A4C3F"/>
    <w:rsid w:val="007A6CE4"/>
    <w:rsid w:val="007B231D"/>
    <w:rsid w:val="007B772E"/>
    <w:rsid w:val="007C188A"/>
    <w:rsid w:val="007C1CAD"/>
    <w:rsid w:val="007C1DC1"/>
    <w:rsid w:val="007C394B"/>
    <w:rsid w:val="007D2722"/>
    <w:rsid w:val="007D3D64"/>
    <w:rsid w:val="007D400A"/>
    <w:rsid w:val="007E0646"/>
    <w:rsid w:val="007E1760"/>
    <w:rsid w:val="007E2C11"/>
    <w:rsid w:val="007E5280"/>
    <w:rsid w:val="007F10D3"/>
    <w:rsid w:val="007F1902"/>
    <w:rsid w:val="007F5BDD"/>
    <w:rsid w:val="007F673B"/>
    <w:rsid w:val="007F7F75"/>
    <w:rsid w:val="00805020"/>
    <w:rsid w:val="008063E4"/>
    <w:rsid w:val="00807DB7"/>
    <w:rsid w:val="008156F7"/>
    <w:rsid w:val="00816686"/>
    <w:rsid w:val="00824BCD"/>
    <w:rsid w:val="00827DE1"/>
    <w:rsid w:val="00850E77"/>
    <w:rsid w:val="00864626"/>
    <w:rsid w:val="0086558F"/>
    <w:rsid w:val="0087011B"/>
    <w:rsid w:val="0087159F"/>
    <w:rsid w:val="00872121"/>
    <w:rsid w:val="008847D2"/>
    <w:rsid w:val="00885A3F"/>
    <w:rsid w:val="00890907"/>
    <w:rsid w:val="008A099C"/>
    <w:rsid w:val="008A5AA0"/>
    <w:rsid w:val="008B02A6"/>
    <w:rsid w:val="008B5FC7"/>
    <w:rsid w:val="008B6EDF"/>
    <w:rsid w:val="008C3A01"/>
    <w:rsid w:val="008C3B23"/>
    <w:rsid w:val="008D3C98"/>
    <w:rsid w:val="008D5E11"/>
    <w:rsid w:val="008D766C"/>
    <w:rsid w:val="008E26B7"/>
    <w:rsid w:val="008E4CA9"/>
    <w:rsid w:val="008E7BB3"/>
    <w:rsid w:val="008F2AC3"/>
    <w:rsid w:val="008F407A"/>
    <w:rsid w:val="008F7289"/>
    <w:rsid w:val="00911C62"/>
    <w:rsid w:val="00912B19"/>
    <w:rsid w:val="00916F4D"/>
    <w:rsid w:val="0092280E"/>
    <w:rsid w:val="00925FD2"/>
    <w:rsid w:val="00942485"/>
    <w:rsid w:val="009457A9"/>
    <w:rsid w:val="00951659"/>
    <w:rsid w:val="009545BF"/>
    <w:rsid w:val="0096120C"/>
    <w:rsid w:val="00971CFC"/>
    <w:rsid w:val="00972718"/>
    <w:rsid w:val="00972FC1"/>
    <w:rsid w:val="00973D4F"/>
    <w:rsid w:val="00983B96"/>
    <w:rsid w:val="00986FAC"/>
    <w:rsid w:val="00987A9C"/>
    <w:rsid w:val="00993ECD"/>
    <w:rsid w:val="009A089C"/>
    <w:rsid w:val="009C09CF"/>
    <w:rsid w:val="009C648E"/>
    <w:rsid w:val="009D341C"/>
    <w:rsid w:val="009D4A5A"/>
    <w:rsid w:val="009E1678"/>
    <w:rsid w:val="009F03A1"/>
    <w:rsid w:val="009F0EE4"/>
    <w:rsid w:val="009F4874"/>
    <w:rsid w:val="00A015F8"/>
    <w:rsid w:val="00A052F9"/>
    <w:rsid w:val="00A11067"/>
    <w:rsid w:val="00A133B6"/>
    <w:rsid w:val="00A2012A"/>
    <w:rsid w:val="00A25B3D"/>
    <w:rsid w:val="00A2759E"/>
    <w:rsid w:val="00A311A4"/>
    <w:rsid w:val="00A342CA"/>
    <w:rsid w:val="00A37619"/>
    <w:rsid w:val="00A40DB0"/>
    <w:rsid w:val="00A44191"/>
    <w:rsid w:val="00A44429"/>
    <w:rsid w:val="00A555C8"/>
    <w:rsid w:val="00A62065"/>
    <w:rsid w:val="00A620E5"/>
    <w:rsid w:val="00A62DEF"/>
    <w:rsid w:val="00A636FC"/>
    <w:rsid w:val="00A658D5"/>
    <w:rsid w:val="00A6665D"/>
    <w:rsid w:val="00A736D9"/>
    <w:rsid w:val="00A74552"/>
    <w:rsid w:val="00A804A5"/>
    <w:rsid w:val="00A85F4B"/>
    <w:rsid w:val="00A91227"/>
    <w:rsid w:val="00A919D7"/>
    <w:rsid w:val="00AB3406"/>
    <w:rsid w:val="00AC28E7"/>
    <w:rsid w:val="00AD053B"/>
    <w:rsid w:val="00AD0C2F"/>
    <w:rsid w:val="00AD3C79"/>
    <w:rsid w:val="00AD5220"/>
    <w:rsid w:val="00AD6D30"/>
    <w:rsid w:val="00AE24B5"/>
    <w:rsid w:val="00AE5CE6"/>
    <w:rsid w:val="00AF3A98"/>
    <w:rsid w:val="00AF57A6"/>
    <w:rsid w:val="00B0113B"/>
    <w:rsid w:val="00B05372"/>
    <w:rsid w:val="00B05633"/>
    <w:rsid w:val="00B0690F"/>
    <w:rsid w:val="00B12B38"/>
    <w:rsid w:val="00B1768A"/>
    <w:rsid w:val="00B176C7"/>
    <w:rsid w:val="00B21FD8"/>
    <w:rsid w:val="00B23023"/>
    <w:rsid w:val="00B27D3D"/>
    <w:rsid w:val="00B36CB6"/>
    <w:rsid w:val="00B40CC9"/>
    <w:rsid w:val="00B41366"/>
    <w:rsid w:val="00B46BF5"/>
    <w:rsid w:val="00B53CAF"/>
    <w:rsid w:val="00B557C9"/>
    <w:rsid w:val="00B62F37"/>
    <w:rsid w:val="00B642A1"/>
    <w:rsid w:val="00B70E40"/>
    <w:rsid w:val="00B742CD"/>
    <w:rsid w:val="00B776DC"/>
    <w:rsid w:val="00B80333"/>
    <w:rsid w:val="00B80AD0"/>
    <w:rsid w:val="00B81328"/>
    <w:rsid w:val="00B90F36"/>
    <w:rsid w:val="00B90FB2"/>
    <w:rsid w:val="00B94150"/>
    <w:rsid w:val="00B94FA5"/>
    <w:rsid w:val="00BA23EA"/>
    <w:rsid w:val="00BB44D9"/>
    <w:rsid w:val="00BB7851"/>
    <w:rsid w:val="00BC3E8C"/>
    <w:rsid w:val="00BD2F8B"/>
    <w:rsid w:val="00BD724C"/>
    <w:rsid w:val="00BE4503"/>
    <w:rsid w:val="00BE5DFC"/>
    <w:rsid w:val="00BF24E2"/>
    <w:rsid w:val="00BF25CD"/>
    <w:rsid w:val="00BF364B"/>
    <w:rsid w:val="00C03BD8"/>
    <w:rsid w:val="00C051CB"/>
    <w:rsid w:val="00C161BD"/>
    <w:rsid w:val="00C20F30"/>
    <w:rsid w:val="00C24E92"/>
    <w:rsid w:val="00C35FC3"/>
    <w:rsid w:val="00C37D93"/>
    <w:rsid w:val="00C42E3A"/>
    <w:rsid w:val="00C45CEF"/>
    <w:rsid w:val="00C47261"/>
    <w:rsid w:val="00C47C7C"/>
    <w:rsid w:val="00C51E76"/>
    <w:rsid w:val="00C52CBE"/>
    <w:rsid w:val="00C6271B"/>
    <w:rsid w:val="00C7009D"/>
    <w:rsid w:val="00C70275"/>
    <w:rsid w:val="00C7659D"/>
    <w:rsid w:val="00C8605D"/>
    <w:rsid w:val="00C91500"/>
    <w:rsid w:val="00C92988"/>
    <w:rsid w:val="00C95F61"/>
    <w:rsid w:val="00C975CE"/>
    <w:rsid w:val="00CA3515"/>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22613"/>
    <w:rsid w:val="00D25ECA"/>
    <w:rsid w:val="00D30AA5"/>
    <w:rsid w:val="00D36312"/>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FAE"/>
    <w:rsid w:val="00DA323A"/>
    <w:rsid w:val="00DA7846"/>
    <w:rsid w:val="00DB1F29"/>
    <w:rsid w:val="00DB5135"/>
    <w:rsid w:val="00DB5E73"/>
    <w:rsid w:val="00DC0A82"/>
    <w:rsid w:val="00DC1055"/>
    <w:rsid w:val="00DC1CBB"/>
    <w:rsid w:val="00DD1AC2"/>
    <w:rsid w:val="00DD5AAE"/>
    <w:rsid w:val="00DD732C"/>
    <w:rsid w:val="00DE5C80"/>
    <w:rsid w:val="00DF41A5"/>
    <w:rsid w:val="00E0559E"/>
    <w:rsid w:val="00E058F5"/>
    <w:rsid w:val="00E06B1B"/>
    <w:rsid w:val="00E06D65"/>
    <w:rsid w:val="00E103CC"/>
    <w:rsid w:val="00E1523F"/>
    <w:rsid w:val="00E1579A"/>
    <w:rsid w:val="00E16CE2"/>
    <w:rsid w:val="00E3073E"/>
    <w:rsid w:val="00E3315C"/>
    <w:rsid w:val="00E339E0"/>
    <w:rsid w:val="00E36598"/>
    <w:rsid w:val="00E423DF"/>
    <w:rsid w:val="00E434CC"/>
    <w:rsid w:val="00E57329"/>
    <w:rsid w:val="00E64903"/>
    <w:rsid w:val="00E660AA"/>
    <w:rsid w:val="00E661CD"/>
    <w:rsid w:val="00E71593"/>
    <w:rsid w:val="00E72D68"/>
    <w:rsid w:val="00E75066"/>
    <w:rsid w:val="00E76128"/>
    <w:rsid w:val="00E80A8D"/>
    <w:rsid w:val="00E810B2"/>
    <w:rsid w:val="00E84802"/>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EE33BA"/>
    <w:rsid w:val="00F018BA"/>
    <w:rsid w:val="00F027D1"/>
    <w:rsid w:val="00F0306A"/>
    <w:rsid w:val="00F03D01"/>
    <w:rsid w:val="00F0423E"/>
    <w:rsid w:val="00F04B66"/>
    <w:rsid w:val="00F04B6F"/>
    <w:rsid w:val="00F05E1D"/>
    <w:rsid w:val="00F10EA0"/>
    <w:rsid w:val="00F14171"/>
    <w:rsid w:val="00F1534B"/>
    <w:rsid w:val="00F237B8"/>
    <w:rsid w:val="00F41BCE"/>
    <w:rsid w:val="00F41E42"/>
    <w:rsid w:val="00F54CBE"/>
    <w:rsid w:val="00F6679F"/>
    <w:rsid w:val="00F7129A"/>
    <w:rsid w:val="00F7398E"/>
    <w:rsid w:val="00F77D96"/>
    <w:rsid w:val="00F8065B"/>
    <w:rsid w:val="00F82EDC"/>
    <w:rsid w:val="00F90C26"/>
    <w:rsid w:val="00F913AC"/>
    <w:rsid w:val="00F915AE"/>
    <w:rsid w:val="00F960F3"/>
    <w:rsid w:val="00FA044F"/>
    <w:rsid w:val="00FA5232"/>
    <w:rsid w:val="00FB3E56"/>
    <w:rsid w:val="00FB46D3"/>
    <w:rsid w:val="00FC1384"/>
    <w:rsid w:val="00FC38FC"/>
    <w:rsid w:val="00FD26C8"/>
    <w:rsid w:val="00FD33D2"/>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46FD8-4E43-4D07-9B6D-F22FF2DE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544</Words>
  <Characters>2998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Jaqueline del Carmen Carrillo Llergo</cp:lastModifiedBy>
  <cp:revision>10</cp:revision>
  <cp:lastPrinted>2025-06-24T21:51:00Z</cp:lastPrinted>
  <dcterms:created xsi:type="dcterms:W3CDTF">2025-01-24T16:36:00Z</dcterms:created>
  <dcterms:modified xsi:type="dcterms:W3CDTF">2025-06-24T21:51:00Z</dcterms:modified>
</cp:coreProperties>
</file>