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9E6D3" w14:textId="0BC64D4D" w:rsidR="00012AE7" w:rsidRDefault="007536A1" w:rsidP="00012AE7">
      <w:pPr>
        <w:rPr>
          <w:rFonts w:ascii="Arial" w:hAnsi="Arial" w:cs="Arial"/>
          <w:b/>
          <w:bCs/>
        </w:rPr>
      </w:pPr>
      <w:r w:rsidRPr="007536A1">
        <w:rPr>
          <w:rFonts w:ascii="Arial" w:hAnsi="Arial" w:cs="Arial"/>
          <w:b/>
          <w:bCs/>
        </w:rPr>
        <w:t>ACUERDO QUE EMITE EL CONSEJO ESTATAL DEL INSTITUTO ELECTORAL Y DE PARTICIPACIÓN CIUDADANA DE TABASCO POR EL QUE, CON MOTIVO DE LAS RENUNCIAS PRESENTADAS, APRUEBA LA CANCELACIÓN DE LAS CANDIDATURAS A LOS CARGOS DE ELECCIÓN DEL PODER JUDICIAL DEL ESTADO PARA EL PROCESO ELECTORAL LOCAL EXTRAORDINARIO 202</w:t>
      </w:r>
      <w:r w:rsidR="00181FCE">
        <w:rPr>
          <w:rFonts w:ascii="Arial" w:hAnsi="Arial" w:cs="Arial"/>
          <w:b/>
          <w:bCs/>
        </w:rPr>
        <w:t>4</w:t>
      </w:r>
      <w:r w:rsidRPr="007536A1">
        <w:rPr>
          <w:rFonts w:ascii="Arial" w:hAnsi="Arial" w:cs="Arial"/>
          <w:b/>
          <w:bCs/>
        </w:rPr>
        <w:t xml:space="preserve"> – 2025</w:t>
      </w:r>
    </w:p>
    <w:p w14:paraId="012578D3" w14:textId="77777777" w:rsidR="007536A1" w:rsidRPr="007536A1" w:rsidRDefault="007536A1" w:rsidP="00012AE7">
      <w:pPr>
        <w:rPr>
          <w:rFonts w:ascii="Arial" w:hAnsi="Arial" w:cs="Arial"/>
          <w:b/>
          <w:bCs/>
        </w:rPr>
      </w:pPr>
    </w:p>
    <w:p w14:paraId="388943E0" w14:textId="58A06462" w:rsidR="000F4788" w:rsidRDefault="000F4788" w:rsidP="000F4788">
      <w:pPr>
        <w:rPr>
          <w:rFonts w:ascii="Arial" w:hAnsi="Arial" w:cs="Arial"/>
          <w:sz w:val="22"/>
          <w:szCs w:val="22"/>
        </w:rPr>
      </w:pPr>
      <w:r w:rsidRPr="007536A1">
        <w:rPr>
          <w:rFonts w:ascii="Arial" w:hAnsi="Arial" w:cs="Arial"/>
          <w:sz w:val="22"/>
          <w:szCs w:val="22"/>
        </w:rPr>
        <w:t>Para efectos del presente acuerdo se usarán las abreviaturas y definiciones siguientes:</w:t>
      </w:r>
    </w:p>
    <w:p w14:paraId="1C37EADB" w14:textId="77777777" w:rsidR="007536A1" w:rsidRPr="007536A1" w:rsidRDefault="007536A1" w:rsidP="000F4788">
      <w:pPr>
        <w:rPr>
          <w:rFonts w:ascii="Arial" w:hAnsi="Arial" w:cs="Arial"/>
          <w:sz w:val="22"/>
          <w:szCs w:val="22"/>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0F4788" w:rsidRPr="007536A1" w14:paraId="05B4E02C" w14:textId="77777777" w:rsidTr="00D52D43">
        <w:trPr>
          <w:trHeight w:val="624"/>
          <w:jc w:val="center"/>
        </w:trPr>
        <w:tc>
          <w:tcPr>
            <w:tcW w:w="2042" w:type="pct"/>
            <w:shd w:val="clear" w:color="auto" w:fill="auto"/>
            <w:vAlign w:val="center"/>
          </w:tcPr>
          <w:p w14:paraId="070A79D0"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Consejo Estatal:</w:t>
            </w:r>
          </w:p>
        </w:tc>
        <w:tc>
          <w:tcPr>
            <w:tcW w:w="2958" w:type="pct"/>
            <w:shd w:val="clear" w:color="auto" w:fill="auto"/>
            <w:vAlign w:val="center"/>
          </w:tcPr>
          <w:p w14:paraId="37EFCDBF"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Consejo Estatal del Instituto Electoral y de Participación Ciudadana de Tabasco.</w:t>
            </w:r>
          </w:p>
        </w:tc>
      </w:tr>
      <w:tr w:rsidR="000F4788" w:rsidRPr="007536A1" w14:paraId="5F2D5493" w14:textId="77777777" w:rsidTr="00D52D43">
        <w:trPr>
          <w:trHeight w:val="624"/>
          <w:jc w:val="center"/>
        </w:trPr>
        <w:tc>
          <w:tcPr>
            <w:tcW w:w="2042" w:type="pct"/>
            <w:shd w:val="clear" w:color="auto" w:fill="auto"/>
            <w:vAlign w:val="center"/>
          </w:tcPr>
          <w:p w14:paraId="2D58A633"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Constitución Federal:</w:t>
            </w:r>
          </w:p>
        </w:tc>
        <w:tc>
          <w:tcPr>
            <w:tcW w:w="2958" w:type="pct"/>
            <w:shd w:val="clear" w:color="auto" w:fill="auto"/>
            <w:vAlign w:val="center"/>
          </w:tcPr>
          <w:p w14:paraId="3CECB01E"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Constitución Política de los Estados Unidos Mexicanos.</w:t>
            </w:r>
          </w:p>
        </w:tc>
      </w:tr>
      <w:tr w:rsidR="000F4788" w:rsidRPr="007536A1" w14:paraId="6BC3CF54" w14:textId="77777777" w:rsidTr="00D52D43">
        <w:trPr>
          <w:trHeight w:val="624"/>
          <w:jc w:val="center"/>
        </w:trPr>
        <w:tc>
          <w:tcPr>
            <w:tcW w:w="2042" w:type="pct"/>
            <w:shd w:val="clear" w:color="auto" w:fill="auto"/>
            <w:vAlign w:val="center"/>
          </w:tcPr>
          <w:p w14:paraId="691277E5"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Constitución Local:</w:t>
            </w:r>
          </w:p>
        </w:tc>
        <w:tc>
          <w:tcPr>
            <w:tcW w:w="2958" w:type="pct"/>
            <w:shd w:val="clear" w:color="auto" w:fill="auto"/>
            <w:vAlign w:val="center"/>
          </w:tcPr>
          <w:p w14:paraId="048E8CFF"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Constitución Política del Estado Libre y Soberano de Tabasco.</w:t>
            </w:r>
          </w:p>
        </w:tc>
      </w:tr>
      <w:tr w:rsidR="000F4788" w:rsidRPr="007536A1" w14:paraId="1F5B2AFB" w14:textId="77777777" w:rsidTr="00D52D43">
        <w:trPr>
          <w:trHeight w:val="624"/>
          <w:jc w:val="center"/>
        </w:trPr>
        <w:tc>
          <w:tcPr>
            <w:tcW w:w="2042" w:type="pct"/>
            <w:shd w:val="clear" w:color="auto" w:fill="auto"/>
            <w:vAlign w:val="center"/>
          </w:tcPr>
          <w:p w14:paraId="51F5A84D"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INE:</w:t>
            </w:r>
          </w:p>
        </w:tc>
        <w:tc>
          <w:tcPr>
            <w:tcW w:w="2958" w:type="pct"/>
            <w:shd w:val="clear" w:color="auto" w:fill="auto"/>
            <w:vAlign w:val="center"/>
          </w:tcPr>
          <w:p w14:paraId="58466345"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Instituto Nacional Electoral.</w:t>
            </w:r>
          </w:p>
        </w:tc>
      </w:tr>
      <w:tr w:rsidR="000F4788" w:rsidRPr="007536A1" w14:paraId="75931B71" w14:textId="77777777" w:rsidTr="00D52D43">
        <w:trPr>
          <w:trHeight w:val="624"/>
          <w:jc w:val="center"/>
        </w:trPr>
        <w:tc>
          <w:tcPr>
            <w:tcW w:w="2042" w:type="pct"/>
            <w:shd w:val="clear" w:color="auto" w:fill="auto"/>
            <w:vAlign w:val="center"/>
          </w:tcPr>
          <w:p w14:paraId="078C9BA8"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Instituto:</w:t>
            </w:r>
          </w:p>
        </w:tc>
        <w:tc>
          <w:tcPr>
            <w:tcW w:w="2958" w:type="pct"/>
            <w:shd w:val="clear" w:color="auto" w:fill="auto"/>
          </w:tcPr>
          <w:p w14:paraId="383C1F8C"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Instituto Electoral y de Participación Ciudadana de Tabasco.</w:t>
            </w:r>
          </w:p>
        </w:tc>
      </w:tr>
      <w:tr w:rsidR="000F4788" w:rsidRPr="007536A1" w14:paraId="050B243C" w14:textId="77777777" w:rsidTr="00D52D43">
        <w:trPr>
          <w:trHeight w:val="624"/>
          <w:jc w:val="center"/>
        </w:trPr>
        <w:tc>
          <w:tcPr>
            <w:tcW w:w="2042" w:type="pct"/>
            <w:shd w:val="clear" w:color="auto" w:fill="auto"/>
            <w:vAlign w:val="center"/>
          </w:tcPr>
          <w:p w14:paraId="2F3DBD6F"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Ley Electoral:</w:t>
            </w:r>
          </w:p>
        </w:tc>
        <w:tc>
          <w:tcPr>
            <w:tcW w:w="2958" w:type="pct"/>
            <w:shd w:val="clear" w:color="auto" w:fill="auto"/>
            <w:vAlign w:val="center"/>
          </w:tcPr>
          <w:p w14:paraId="6E992AC8"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Ley Electoral y de Partidos Políticos del Estado de Tabasco.</w:t>
            </w:r>
          </w:p>
        </w:tc>
      </w:tr>
      <w:tr w:rsidR="000F4788" w:rsidRPr="007536A1" w14:paraId="12F50E8E" w14:textId="77777777" w:rsidTr="00D52D43">
        <w:trPr>
          <w:trHeight w:val="624"/>
          <w:jc w:val="center"/>
        </w:trPr>
        <w:tc>
          <w:tcPr>
            <w:tcW w:w="2042" w:type="pct"/>
            <w:shd w:val="clear" w:color="auto" w:fill="auto"/>
            <w:vAlign w:val="center"/>
          </w:tcPr>
          <w:p w14:paraId="1779C2BA"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Ley General:</w:t>
            </w:r>
          </w:p>
        </w:tc>
        <w:tc>
          <w:tcPr>
            <w:tcW w:w="2958" w:type="pct"/>
            <w:shd w:val="clear" w:color="auto" w:fill="auto"/>
            <w:vAlign w:val="center"/>
          </w:tcPr>
          <w:p w14:paraId="35302480"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Ley General de Instituciones y Procedimientos Electorales.</w:t>
            </w:r>
          </w:p>
        </w:tc>
      </w:tr>
      <w:tr w:rsidR="000F4788" w:rsidRPr="007536A1" w14:paraId="43F61BFE" w14:textId="77777777" w:rsidTr="00D52D43">
        <w:trPr>
          <w:trHeight w:val="624"/>
          <w:jc w:val="center"/>
        </w:trPr>
        <w:tc>
          <w:tcPr>
            <w:tcW w:w="2042" w:type="pct"/>
            <w:shd w:val="clear" w:color="auto" w:fill="auto"/>
            <w:vAlign w:val="center"/>
          </w:tcPr>
          <w:p w14:paraId="5E3C1F12"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Organismo electoral:</w:t>
            </w:r>
          </w:p>
        </w:tc>
        <w:tc>
          <w:tcPr>
            <w:tcW w:w="2958" w:type="pct"/>
            <w:shd w:val="clear" w:color="auto" w:fill="auto"/>
            <w:vAlign w:val="center"/>
          </w:tcPr>
          <w:p w14:paraId="4380EC4D"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 xml:space="preserve">Organismo(s) público(s) local(es) electoral(es). </w:t>
            </w:r>
          </w:p>
        </w:tc>
      </w:tr>
      <w:tr w:rsidR="000F4788" w:rsidRPr="007536A1" w14:paraId="43126052" w14:textId="77777777" w:rsidTr="00D52D43">
        <w:trPr>
          <w:trHeight w:val="624"/>
          <w:jc w:val="center"/>
        </w:trPr>
        <w:tc>
          <w:tcPr>
            <w:tcW w:w="2042" w:type="pct"/>
            <w:shd w:val="clear" w:color="auto" w:fill="auto"/>
            <w:vAlign w:val="center"/>
          </w:tcPr>
          <w:p w14:paraId="539CA6D4"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Proceso Electoral Extraordinario:</w:t>
            </w:r>
          </w:p>
        </w:tc>
        <w:tc>
          <w:tcPr>
            <w:tcW w:w="2958" w:type="pct"/>
            <w:shd w:val="clear" w:color="auto" w:fill="auto"/>
            <w:vAlign w:val="center"/>
          </w:tcPr>
          <w:p w14:paraId="3BB8FEC3"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Proceso Electoral Local Extraordinario para personas juzgadoras del Poder Judicial del Estado de Tabasco 2024 – 2025.</w:t>
            </w:r>
          </w:p>
        </w:tc>
      </w:tr>
      <w:tr w:rsidR="000F4788" w:rsidRPr="007536A1" w14:paraId="2C486A21" w14:textId="77777777" w:rsidTr="00D52D43">
        <w:trPr>
          <w:trHeight w:val="624"/>
          <w:jc w:val="center"/>
        </w:trPr>
        <w:tc>
          <w:tcPr>
            <w:tcW w:w="2042" w:type="pct"/>
            <w:shd w:val="clear" w:color="auto" w:fill="auto"/>
            <w:vAlign w:val="center"/>
          </w:tcPr>
          <w:p w14:paraId="210E0BD7" w14:textId="77777777" w:rsidR="000F4788" w:rsidRPr="007536A1" w:rsidRDefault="000F4788" w:rsidP="00D52D43">
            <w:pPr>
              <w:widowControl w:val="0"/>
              <w:spacing w:before="60" w:after="60"/>
              <w:ind w:left="57"/>
              <w:jc w:val="right"/>
              <w:rPr>
                <w:rFonts w:ascii="Arial" w:hAnsi="Arial" w:cs="Arial"/>
                <w:b/>
                <w:sz w:val="20"/>
                <w:szCs w:val="20"/>
              </w:rPr>
            </w:pPr>
            <w:r w:rsidRPr="007536A1">
              <w:rPr>
                <w:rFonts w:ascii="Arial" w:hAnsi="Arial" w:cs="Arial"/>
                <w:b/>
                <w:sz w:val="20"/>
                <w:szCs w:val="20"/>
              </w:rPr>
              <w:t>Secretaría Ejecutiva:</w:t>
            </w:r>
          </w:p>
        </w:tc>
        <w:tc>
          <w:tcPr>
            <w:tcW w:w="2958" w:type="pct"/>
            <w:shd w:val="clear" w:color="auto" w:fill="auto"/>
            <w:vAlign w:val="center"/>
          </w:tcPr>
          <w:p w14:paraId="32E8E93C" w14:textId="77777777" w:rsidR="000F4788" w:rsidRPr="007536A1" w:rsidRDefault="000F4788" w:rsidP="00D52D43">
            <w:pPr>
              <w:widowControl w:val="0"/>
              <w:spacing w:before="60" w:after="60"/>
              <w:ind w:left="57"/>
              <w:rPr>
                <w:rFonts w:ascii="Arial" w:hAnsi="Arial" w:cs="Arial"/>
                <w:sz w:val="20"/>
                <w:szCs w:val="20"/>
              </w:rPr>
            </w:pPr>
            <w:r w:rsidRPr="007536A1">
              <w:rPr>
                <w:rFonts w:ascii="Arial" w:hAnsi="Arial" w:cs="Arial"/>
                <w:sz w:val="20"/>
                <w:szCs w:val="20"/>
              </w:rPr>
              <w:t>Secretaría Ejecutiva del Instituto Electoral y de Participación Ciudadana de Tabasco.</w:t>
            </w:r>
          </w:p>
        </w:tc>
      </w:tr>
    </w:tbl>
    <w:p w14:paraId="368C39F5" w14:textId="77777777" w:rsidR="007536A1" w:rsidRDefault="007536A1" w:rsidP="007536A1">
      <w:pPr>
        <w:pStyle w:val="Ttulo1"/>
        <w:numPr>
          <w:ilvl w:val="0"/>
          <w:numId w:val="0"/>
        </w:numPr>
        <w:ind w:left="432"/>
        <w:jc w:val="both"/>
        <w:rPr>
          <w:rFonts w:ascii="Arial" w:hAnsi="Arial" w:cs="Arial"/>
        </w:rPr>
      </w:pPr>
    </w:p>
    <w:p w14:paraId="0662A491" w14:textId="5EF34ADF" w:rsidR="00012AE7" w:rsidRPr="007536A1" w:rsidRDefault="00012AE7" w:rsidP="00A979E2">
      <w:pPr>
        <w:pStyle w:val="Ttulo1"/>
        <w:rPr>
          <w:rFonts w:ascii="Arial" w:hAnsi="Arial" w:cs="Arial"/>
          <w:sz w:val="24"/>
          <w:szCs w:val="24"/>
        </w:rPr>
      </w:pPr>
      <w:r w:rsidRPr="007536A1">
        <w:rPr>
          <w:rFonts w:ascii="Arial" w:hAnsi="Arial" w:cs="Arial"/>
          <w:sz w:val="24"/>
          <w:szCs w:val="24"/>
        </w:rPr>
        <w:lastRenderedPageBreak/>
        <w:t>Antecedentes</w:t>
      </w:r>
    </w:p>
    <w:p w14:paraId="115008D3" w14:textId="77777777" w:rsidR="00012AE7" w:rsidRPr="007536A1" w:rsidRDefault="00012AE7" w:rsidP="00012AE7">
      <w:pPr>
        <w:pStyle w:val="Ttulo2"/>
        <w:rPr>
          <w:rFonts w:ascii="Arial" w:hAnsi="Arial" w:cs="Arial"/>
          <w:sz w:val="22"/>
          <w:szCs w:val="22"/>
        </w:rPr>
      </w:pPr>
      <w:r w:rsidRPr="007536A1">
        <w:rPr>
          <w:rFonts w:ascii="Arial" w:hAnsi="Arial" w:cs="Arial"/>
        </w:rPr>
        <w:t xml:space="preserve">Fines </w:t>
      </w:r>
      <w:r w:rsidRPr="007536A1">
        <w:rPr>
          <w:rFonts w:ascii="Arial" w:hAnsi="Arial" w:cs="Arial"/>
          <w:sz w:val="22"/>
          <w:szCs w:val="22"/>
        </w:rPr>
        <w:t>del Instituto</w:t>
      </w:r>
    </w:p>
    <w:p w14:paraId="466F3854"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33D0D8C4"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6E18A068"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41CEA161" w14:textId="77777777" w:rsidR="00012AE7" w:rsidRPr="007536A1" w:rsidRDefault="00012AE7" w:rsidP="00012AE7">
      <w:pPr>
        <w:pStyle w:val="Ttulo2"/>
        <w:rPr>
          <w:rFonts w:ascii="Arial" w:hAnsi="Arial" w:cs="Arial"/>
          <w:sz w:val="22"/>
          <w:szCs w:val="22"/>
        </w:rPr>
      </w:pPr>
      <w:r w:rsidRPr="007536A1">
        <w:rPr>
          <w:rFonts w:ascii="Arial" w:hAnsi="Arial" w:cs="Arial"/>
          <w:sz w:val="22"/>
          <w:szCs w:val="22"/>
        </w:rPr>
        <w:t>Integración del órgano superior de dirección</w:t>
      </w:r>
    </w:p>
    <w:p w14:paraId="2F11D9C9"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5ADCBBCD"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 xml:space="preserve">Dicho órgano electoral, de conformidad con los artículos 99 de la Ley General y 107 numeral 1 de la Ley Electoral, se integrará por una Consejera o un Consejero Presidente y seis consejeras y consejeros electorales, con voz y voto; la Secretaria o el Secretario Ejecutivo </w:t>
      </w:r>
      <w:r w:rsidRPr="007536A1">
        <w:rPr>
          <w:rFonts w:ascii="Arial" w:hAnsi="Arial" w:cs="Arial"/>
          <w:sz w:val="22"/>
          <w:szCs w:val="22"/>
          <w:lang w:val="es-MX"/>
        </w:rPr>
        <w:lastRenderedPageBreak/>
        <w:t>y una o un representante por cada partido político con registro nacional o estatal, quienes concurrirán a las sesiones sólo con derecho a voz.</w:t>
      </w:r>
    </w:p>
    <w:p w14:paraId="611D81C2"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4407EAF5" w14:textId="77777777" w:rsidR="00012AE7" w:rsidRPr="007536A1" w:rsidRDefault="00012AE7" w:rsidP="00012AE7">
      <w:pPr>
        <w:pStyle w:val="Ttulo2"/>
        <w:rPr>
          <w:rFonts w:ascii="Arial" w:hAnsi="Arial" w:cs="Arial"/>
          <w:sz w:val="22"/>
          <w:szCs w:val="22"/>
        </w:rPr>
      </w:pPr>
      <w:r w:rsidRPr="007536A1">
        <w:rPr>
          <w:rFonts w:ascii="Arial" w:hAnsi="Arial" w:cs="Arial"/>
          <w:sz w:val="22"/>
          <w:szCs w:val="22"/>
        </w:rPr>
        <w:t>Órganos centrales del Instituto</w:t>
      </w:r>
    </w:p>
    <w:p w14:paraId="7ECDA007"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De acuerdo con el artículo 105 numeral 1 de la Ley Electoral los órganos centrales del Instituto son los siguientes:</w:t>
      </w:r>
    </w:p>
    <w:p w14:paraId="31812361" w14:textId="77777777" w:rsidR="00012AE7" w:rsidRPr="007536A1" w:rsidRDefault="00012AE7" w:rsidP="00D8545A">
      <w:pPr>
        <w:pStyle w:val="Prrafodelista"/>
        <w:numPr>
          <w:ilvl w:val="0"/>
          <w:numId w:val="9"/>
        </w:numPr>
        <w:ind w:left="680" w:hanging="680"/>
        <w:rPr>
          <w:rFonts w:ascii="Arial" w:hAnsi="Arial" w:cs="Arial"/>
          <w:sz w:val="22"/>
          <w:szCs w:val="22"/>
          <w:lang w:val="es-MX"/>
        </w:rPr>
      </w:pPr>
      <w:r w:rsidRPr="007536A1">
        <w:rPr>
          <w:rFonts w:ascii="Arial" w:hAnsi="Arial" w:cs="Arial"/>
          <w:sz w:val="22"/>
          <w:szCs w:val="22"/>
          <w:lang w:val="es-MX"/>
        </w:rPr>
        <w:t>Consejo Estatal;</w:t>
      </w:r>
    </w:p>
    <w:p w14:paraId="42371D60" w14:textId="77777777" w:rsidR="00012AE7" w:rsidRPr="007536A1" w:rsidRDefault="00012AE7" w:rsidP="00D8545A">
      <w:pPr>
        <w:pStyle w:val="Prrafodelista"/>
        <w:numPr>
          <w:ilvl w:val="0"/>
          <w:numId w:val="9"/>
        </w:numPr>
        <w:ind w:left="680" w:hanging="680"/>
        <w:rPr>
          <w:rFonts w:ascii="Arial" w:hAnsi="Arial" w:cs="Arial"/>
          <w:sz w:val="22"/>
          <w:szCs w:val="22"/>
          <w:lang w:val="es-MX"/>
        </w:rPr>
      </w:pPr>
      <w:r w:rsidRPr="007536A1">
        <w:rPr>
          <w:rFonts w:ascii="Arial" w:hAnsi="Arial" w:cs="Arial"/>
          <w:sz w:val="22"/>
          <w:szCs w:val="22"/>
          <w:lang w:val="es-MX"/>
        </w:rPr>
        <w:t>Presidencia del Consejo Estatal;</w:t>
      </w:r>
    </w:p>
    <w:p w14:paraId="576EBD3F" w14:textId="77777777" w:rsidR="00012AE7" w:rsidRPr="007536A1" w:rsidRDefault="00012AE7" w:rsidP="00D8545A">
      <w:pPr>
        <w:pStyle w:val="Prrafodelista"/>
        <w:numPr>
          <w:ilvl w:val="0"/>
          <w:numId w:val="9"/>
        </w:numPr>
        <w:ind w:left="680" w:hanging="680"/>
        <w:rPr>
          <w:rFonts w:ascii="Arial" w:hAnsi="Arial" w:cs="Arial"/>
          <w:sz w:val="22"/>
          <w:szCs w:val="22"/>
          <w:lang w:val="es-MX"/>
        </w:rPr>
      </w:pPr>
      <w:r w:rsidRPr="007536A1">
        <w:rPr>
          <w:rFonts w:ascii="Arial" w:hAnsi="Arial" w:cs="Arial"/>
          <w:sz w:val="22"/>
          <w:szCs w:val="22"/>
          <w:lang w:val="es-MX"/>
        </w:rPr>
        <w:t>Junta Estatal Ejecutiva;</w:t>
      </w:r>
    </w:p>
    <w:p w14:paraId="4E5EFDC4" w14:textId="77777777" w:rsidR="00012AE7" w:rsidRPr="007536A1" w:rsidRDefault="00012AE7" w:rsidP="00D8545A">
      <w:pPr>
        <w:pStyle w:val="Prrafodelista"/>
        <w:numPr>
          <w:ilvl w:val="0"/>
          <w:numId w:val="9"/>
        </w:numPr>
        <w:ind w:left="680" w:hanging="680"/>
        <w:rPr>
          <w:rFonts w:ascii="Arial" w:hAnsi="Arial" w:cs="Arial"/>
          <w:sz w:val="22"/>
          <w:szCs w:val="22"/>
          <w:lang w:val="es-MX"/>
        </w:rPr>
      </w:pPr>
      <w:r w:rsidRPr="007536A1">
        <w:rPr>
          <w:rFonts w:ascii="Arial" w:hAnsi="Arial" w:cs="Arial"/>
          <w:sz w:val="22"/>
          <w:szCs w:val="22"/>
          <w:lang w:val="es-MX"/>
        </w:rPr>
        <w:t>Secretaría Ejecutiva, y</w:t>
      </w:r>
    </w:p>
    <w:p w14:paraId="2D3A26EA" w14:textId="77777777" w:rsidR="00012AE7" w:rsidRPr="007536A1" w:rsidRDefault="00012AE7" w:rsidP="00D8545A">
      <w:pPr>
        <w:pStyle w:val="Prrafodelista"/>
        <w:numPr>
          <w:ilvl w:val="0"/>
          <w:numId w:val="9"/>
        </w:numPr>
        <w:ind w:left="680" w:hanging="680"/>
        <w:rPr>
          <w:rFonts w:ascii="Arial" w:hAnsi="Arial" w:cs="Arial"/>
          <w:sz w:val="22"/>
          <w:szCs w:val="22"/>
          <w:lang w:val="es-MX"/>
        </w:rPr>
      </w:pPr>
      <w:r w:rsidRPr="007536A1">
        <w:rPr>
          <w:rFonts w:ascii="Arial" w:hAnsi="Arial" w:cs="Arial"/>
          <w:sz w:val="22"/>
          <w:szCs w:val="22"/>
          <w:lang w:val="es-MX"/>
        </w:rPr>
        <w:t>Órgano Técnico de Fiscalización.</w:t>
      </w:r>
    </w:p>
    <w:p w14:paraId="2AF3A943" w14:textId="77777777" w:rsidR="00012AE7" w:rsidRPr="007536A1" w:rsidRDefault="00012AE7" w:rsidP="00012AE7">
      <w:pPr>
        <w:pStyle w:val="Ttulo2"/>
        <w:rPr>
          <w:rFonts w:ascii="Arial" w:hAnsi="Arial" w:cs="Arial"/>
          <w:sz w:val="22"/>
          <w:szCs w:val="22"/>
        </w:rPr>
      </w:pPr>
      <w:r w:rsidRPr="007536A1">
        <w:rPr>
          <w:rFonts w:ascii="Arial" w:hAnsi="Arial" w:cs="Arial"/>
          <w:sz w:val="22"/>
          <w:szCs w:val="22"/>
        </w:rPr>
        <w:t xml:space="preserve">Reforma Constitucional </w:t>
      </w:r>
    </w:p>
    <w:p w14:paraId="60B14967"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0C59DB00" w14:textId="35A3F266" w:rsidR="00012AE7" w:rsidRDefault="00012AE7" w:rsidP="00012AE7">
      <w:pPr>
        <w:rPr>
          <w:rFonts w:ascii="Arial" w:hAnsi="Arial" w:cs="Arial"/>
          <w:sz w:val="22"/>
          <w:szCs w:val="22"/>
          <w:lang w:val="es-MX"/>
        </w:rPr>
      </w:pPr>
      <w:r w:rsidRPr="007536A1">
        <w:rPr>
          <w:rFonts w:ascii="Arial" w:hAnsi="Arial" w:cs="Arial"/>
          <w:sz w:val="22"/>
          <w:szCs w:val="22"/>
          <w:lang w:val="es-MX"/>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6D9712E3" w14:textId="77777777" w:rsidR="007536A1" w:rsidRDefault="007536A1" w:rsidP="00012AE7">
      <w:pPr>
        <w:rPr>
          <w:rFonts w:ascii="Arial" w:hAnsi="Arial" w:cs="Arial"/>
          <w:sz w:val="22"/>
          <w:szCs w:val="22"/>
          <w:lang w:val="es-MX"/>
        </w:rPr>
      </w:pPr>
    </w:p>
    <w:p w14:paraId="30E0CDB9" w14:textId="77777777" w:rsidR="007536A1" w:rsidRPr="007536A1" w:rsidRDefault="007536A1" w:rsidP="00012AE7">
      <w:pPr>
        <w:rPr>
          <w:rFonts w:ascii="Arial" w:hAnsi="Arial" w:cs="Arial"/>
          <w:sz w:val="22"/>
          <w:szCs w:val="22"/>
          <w:lang w:val="es-MX"/>
        </w:rPr>
      </w:pPr>
    </w:p>
    <w:p w14:paraId="6E3335A9" w14:textId="77777777" w:rsidR="00012AE7" w:rsidRPr="007536A1" w:rsidRDefault="00012AE7" w:rsidP="00012AE7">
      <w:pPr>
        <w:pStyle w:val="Ttulo2"/>
        <w:rPr>
          <w:rFonts w:ascii="Arial" w:hAnsi="Arial" w:cs="Arial"/>
          <w:sz w:val="22"/>
          <w:szCs w:val="22"/>
        </w:rPr>
      </w:pPr>
      <w:r w:rsidRPr="007536A1">
        <w:rPr>
          <w:rFonts w:ascii="Arial" w:hAnsi="Arial" w:cs="Arial"/>
          <w:sz w:val="22"/>
          <w:szCs w:val="22"/>
        </w:rPr>
        <w:lastRenderedPageBreak/>
        <w:t>Inicio del Proceso Electoral Extraordinario</w:t>
      </w:r>
    </w:p>
    <w:p w14:paraId="3D9E8A1B"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71ED717C" w14:textId="77777777" w:rsidR="00012AE7" w:rsidRPr="007536A1" w:rsidRDefault="00012AE7" w:rsidP="00012AE7">
      <w:pPr>
        <w:pStyle w:val="Ttulo2"/>
        <w:rPr>
          <w:rFonts w:ascii="Arial" w:hAnsi="Arial" w:cs="Arial"/>
          <w:sz w:val="22"/>
          <w:szCs w:val="22"/>
        </w:rPr>
      </w:pPr>
      <w:r w:rsidRPr="007536A1">
        <w:rPr>
          <w:rFonts w:ascii="Arial" w:hAnsi="Arial" w:cs="Arial"/>
          <w:sz w:val="22"/>
          <w:szCs w:val="22"/>
        </w:rPr>
        <w:t>Expedición de la Convocatoria General Pública</w:t>
      </w:r>
    </w:p>
    <w:p w14:paraId="3D27997C" w14:textId="77777777" w:rsidR="00012AE7" w:rsidRPr="007536A1" w:rsidRDefault="00012AE7" w:rsidP="00012AE7">
      <w:pPr>
        <w:widowControl w:val="0"/>
        <w:rPr>
          <w:rFonts w:ascii="Arial" w:hAnsi="Arial" w:cs="Arial"/>
          <w:sz w:val="22"/>
          <w:szCs w:val="22"/>
        </w:rPr>
      </w:pPr>
      <w:r w:rsidRPr="007536A1">
        <w:rPr>
          <w:rFonts w:ascii="Arial" w:hAnsi="Arial" w:cs="Arial"/>
          <w:sz w:val="22"/>
          <w:szCs w:val="22"/>
        </w:rPr>
        <w:t>El 16 de enero de 2025, en el Periódico Oficial del Estado Extraordinario edición número 281, se publicó la Convocatoria General Pública para que, los Poderes Ejecutivo, Legislativo y Judicial integraran e instalaran sus respectivos Comités de Evaluación y para que, a través de ellos, convoquen a toda la ciudadanía a participar en la elección extraordinaria de las personas que ocuparán los cargos de Magistraturas del Tribunal Superior de Justicia, Magistraturas del Tribunal de Disciplina Judicial, así como Juezas y Jueces del Poder Judicial del Estado de Tabasco, expedida por el Congreso del Estado de Tabasco.</w:t>
      </w:r>
    </w:p>
    <w:p w14:paraId="06251570" w14:textId="77777777" w:rsidR="00012AE7" w:rsidRPr="007536A1" w:rsidRDefault="00012AE7" w:rsidP="00012AE7">
      <w:pPr>
        <w:pStyle w:val="Ttulo2"/>
        <w:rPr>
          <w:rFonts w:ascii="Arial" w:hAnsi="Arial" w:cs="Arial"/>
          <w:sz w:val="22"/>
          <w:szCs w:val="22"/>
        </w:rPr>
      </w:pPr>
      <w:r w:rsidRPr="007536A1">
        <w:rPr>
          <w:rFonts w:ascii="Arial" w:hAnsi="Arial" w:cs="Arial"/>
          <w:sz w:val="22"/>
          <w:szCs w:val="22"/>
        </w:rPr>
        <w:t>Reforma a la Ley Electoral</w:t>
      </w:r>
    </w:p>
    <w:p w14:paraId="57B4252E"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570203B3" w14:textId="0FED636F" w:rsidR="00D768C3" w:rsidRPr="007536A1" w:rsidRDefault="00D768C3" w:rsidP="006C4C11">
      <w:pPr>
        <w:pStyle w:val="Ttulo2"/>
        <w:rPr>
          <w:rFonts w:ascii="Arial" w:hAnsi="Arial" w:cs="Arial"/>
          <w:sz w:val="22"/>
          <w:szCs w:val="22"/>
        </w:rPr>
      </w:pPr>
      <w:r w:rsidRPr="007536A1">
        <w:rPr>
          <w:rFonts w:ascii="Arial" w:hAnsi="Arial" w:cs="Arial"/>
          <w:sz w:val="22"/>
          <w:szCs w:val="22"/>
        </w:rPr>
        <w:t>Implementación del Sistema “Candidatas y Candidatos: Conóceles”</w:t>
      </w:r>
    </w:p>
    <w:p w14:paraId="731B816A" w14:textId="3FF61820" w:rsidR="00D768C3" w:rsidRDefault="006C4C11" w:rsidP="00012AE7">
      <w:pPr>
        <w:rPr>
          <w:rFonts w:ascii="Arial" w:hAnsi="Arial" w:cs="Arial"/>
          <w:sz w:val="22"/>
          <w:szCs w:val="22"/>
          <w:lang w:val="es-MX"/>
        </w:rPr>
      </w:pPr>
      <w:r w:rsidRPr="007536A1">
        <w:rPr>
          <w:rFonts w:ascii="Arial" w:hAnsi="Arial" w:cs="Arial"/>
          <w:sz w:val="22"/>
          <w:szCs w:val="22"/>
          <w:lang w:val="es-MX"/>
        </w:rPr>
        <w:t>El 4 de abril de 2025, mediante acuerdo CE/2025/041, el Consejo Estatal aprobó el Programa de Trabajo y los Lineamientos para el uso del Sistema “Candidatas y Candidatos: Conóceles” para el Proceso Electoral Extraordinario.</w:t>
      </w:r>
    </w:p>
    <w:p w14:paraId="5F0866E7" w14:textId="25544142" w:rsidR="007536A1" w:rsidRDefault="007536A1" w:rsidP="00012AE7">
      <w:pPr>
        <w:rPr>
          <w:rFonts w:ascii="Arial" w:hAnsi="Arial" w:cs="Arial"/>
          <w:sz w:val="22"/>
          <w:szCs w:val="22"/>
          <w:lang w:val="es-MX"/>
        </w:rPr>
      </w:pPr>
    </w:p>
    <w:p w14:paraId="2C585160" w14:textId="77777777" w:rsidR="007536A1" w:rsidRPr="007536A1" w:rsidRDefault="007536A1" w:rsidP="00012AE7">
      <w:pPr>
        <w:rPr>
          <w:rFonts w:ascii="Arial" w:hAnsi="Arial" w:cs="Arial"/>
          <w:sz w:val="22"/>
          <w:szCs w:val="22"/>
          <w:lang w:val="es-MX"/>
        </w:rPr>
      </w:pPr>
    </w:p>
    <w:p w14:paraId="7748F06A" w14:textId="77777777" w:rsidR="002F7F20" w:rsidRPr="007536A1" w:rsidRDefault="002F7F20" w:rsidP="002F7F20">
      <w:pPr>
        <w:pStyle w:val="Ttulo2"/>
        <w:rPr>
          <w:rFonts w:ascii="Arial" w:hAnsi="Arial" w:cs="Arial"/>
          <w:sz w:val="22"/>
          <w:szCs w:val="22"/>
        </w:rPr>
      </w:pPr>
      <w:r w:rsidRPr="007536A1">
        <w:rPr>
          <w:rFonts w:ascii="Arial" w:hAnsi="Arial" w:cs="Arial"/>
          <w:sz w:val="22"/>
          <w:szCs w:val="22"/>
        </w:rPr>
        <w:lastRenderedPageBreak/>
        <w:t xml:space="preserve">Listado de difusión </w:t>
      </w:r>
    </w:p>
    <w:p w14:paraId="443C0D17" w14:textId="77777777" w:rsidR="002F7F20" w:rsidRPr="007536A1" w:rsidRDefault="002F7F20" w:rsidP="002F7F20">
      <w:pPr>
        <w:rPr>
          <w:rFonts w:ascii="Arial" w:hAnsi="Arial" w:cs="Arial"/>
          <w:sz w:val="22"/>
          <w:szCs w:val="22"/>
        </w:rPr>
      </w:pPr>
      <w:r w:rsidRPr="007536A1">
        <w:rPr>
          <w:rFonts w:ascii="Arial" w:hAnsi="Arial" w:cs="Arial"/>
          <w:sz w:val="22"/>
          <w:szCs w:val="22"/>
        </w:rPr>
        <w:t>El 14 de abril de 2025, mediante acuerdo CE/2025/044, el Consejo Estatal aprobó la difusión y publicación del listado definitivo de las personas candidatas de personas candidatas y su inclusión en las boletas electorales que se utilizarán con motivo del Proceso Electoral Extraordinario.</w:t>
      </w:r>
    </w:p>
    <w:p w14:paraId="13CFC3E1" w14:textId="77777777" w:rsidR="00012AE7" w:rsidRPr="007536A1" w:rsidRDefault="00012AE7" w:rsidP="00012AE7">
      <w:pPr>
        <w:pStyle w:val="Ttulo2"/>
        <w:rPr>
          <w:rFonts w:ascii="Arial" w:hAnsi="Arial" w:cs="Arial"/>
          <w:sz w:val="22"/>
          <w:szCs w:val="22"/>
        </w:rPr>
      </w:pPr>
      <w:r w:rsidRPr="007536A1">
        <w:rPr>
          <w:rFonts w:ascii="Arial" w:hAnsi="Arial" w:cs="Arial"/>
          <w:sz w:val="22"/>
          <w:szCs w:val="22"/>
        </w:rPr>
        <w:t>Jornada electoral</w:t>
      </w:r>
    </w:p>
    <w:p w14:paraId="249A51E0" w14:textId="4436DF8B" w:rsidR="00012AE7" w:rsidRDefault="00012AE7" w:rsidP="00012AE7">
      <w:pPr>
        <w:rPr>
          <w:rFonts w:ascii="Arial" w:hAnsi="Arial" w:cs="Arial"/>
          <w:sz w:val="22"/>
          <w:szCs w:val="22"/>
          <w:lang w:val="es-MX"/>
        </w:rPr>
      </w:pPr>
      <w:r w:rsidRPr="007536A1">
        <w:rPr>
          <w:rFonts w:ascii="Arial" w:hAnsi="Arial" w:cs="Arial"/>
          <w:sz w:val="22"/>
          <w:szCs w:val="22"/>
          <w:lang w:val="es-MX"/>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082AA8F2" w14:textId="77777777" w:rsidR="007536A1" w:rsidRPr="007536A1" w:rsidRDefault="007536A1" w:rsidP="00012AE7">
      <w:pPr>
        <w:rPr>
          <w:rFonts w:ascii="Arial" w:hAnsi="Arial" w:cs="Arial"/>
          <w:sz w:val="22"/>
          <w:szCs w:val="22"/>
          <w:lang w:val="es-MX"/>
        </w:rPr>
      </w:pPr>
    </w:p>
    <w:p w14:paraId="4F43CE9F" w14:textId="77777777" w:rsidR="00012AE7" w:rsidRPr="007536A1" w:rsidRDefault="00012AE7" w:rsidP="00B85171">
      <w:pPr>
        <w:pStyle w:val="Ttulo1"/>
        <w:rPr>
          <w:rFonts w:ascii="Arial" w:hAnsi="Arial" w:cs="Arial"/>
          <w:sz w:val="24"/>
          <w:szCs w:val="24"/>
        </w:rPr>
      </w:pPr>
      <w:r w:rsidRPr="007536A1">
        <w:rPr>
          <w:rFonts w:ascii="Arial" w:hAnsi="Arial" w:cs="Arial"/>
          <w:sz w:val="24"/>
          <w:szCs w:val="24"/>
        </w:rPr>
        <w:t>Considerando</w:t>
      </w:r>
    </w:p>
    <w:p w14:paraId="775A9834"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Competencia del Consejo Estatal</w:t>
      </w:r>
    </w:p>
    <w:p w14:paraId="698DF90D"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Que, de conformidad con los artículos 115 numeral 1, fracción XL y 393 numeral 1, fracción II de la Ley Electoral, el Consejo Estatal es competente para organizar el proceso electivo de las personas juzgadoras, su jornada electoral y los cómputos de los resultados electorales, en los términos que determine la Ley General y la Ley Electoral; así como, para aprobar los lineamientos o acuerdos necesarios para llevar a cabo la organización, desarrollo y cómputo de la elección.</w:t>
      </w:r>
    </w:p>
    <w:p w14:paraId="069852CD" w14:textId="1A03A918" w:rsidR="00012AE7" w:rsidRDefault="00012AE7" w:rsidP="00012AE7">
      <w:pPr>
        <w:rPr>
          <w:rFonts w:ascii="Arial" w:hAnsi="Arial" w:cs="Arial"/>
          <w:sz w:val="22"/>
          <w:szCs w:val="22"/>
          <w:lang w:val="es-MX"/>
        </w:rPr>
      </w:pPr>
      <w:r w:rsidRPr="007536A1">
        <w:rPr>
          <w:rFonts w:ascii="Arial" w:hAnsi="Arial" w:cs="Arial"/>
          <w:sz w:val="22"/>
          <w:szCs w:val="22"/>
          <w:lang w:val="es-MX"/>
        </w:rPr>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197AC32E" w14:textId="64FEE4C5" w:rsidR="007536A1" w:rsidRDefault="007536A1" w:rsidP="00012AE7">
      <w:pPr>
        <w:rPr>
          <w:rFonts w:ascii="Arial" w:hAnsi="Arial" w:cs="Arial"/>
          <w:sz w:val="22"/>
          <w:szCs w:val="22"/>
          <w:lang w:val="es-MX"/>
        </w:rPr>
      </w:pPr>
    </w:p>
    <w:p w14:paraId="219B4949" w14:textId="77777777" w:rsidR="007536A1" w:rsidRPr="007536A1" w:rsidRDefault="007536A1" w:rsidP="00012AE7">
      <w:pPr>
        <w:rPr>
          <w:rFonts w:ascii="Arial" w:hAnsi="Arial" w:cs="Arial"/>
          <w:sz w:val="22"/>
          <w:szCs w:val="22"/>
          <w:lang w:val="es-MX"/>
        </w:rPr>
      </w:pPr>
    </w:p>
    <w:p w14:paraId="1CAD253E"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lastRenderedPageBreak/>
        <w:t>Régimen político del estado de Tabasco</w:t>
      </w:r>
    </w:p>
    <w:p w14:paraId="397A79CA"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Que, el artículo 9 de la Constitución Local establece que, el Estado de Tabasco es libre y soberano en lo que se refiere a su régimen interior. Asimismo, el pueblo ejerce su soberanía por medio de los Poderes del Estado en los casos de su competencia y en los términos que establezcan la Constitución Federal y la Constitución Local.</w:t>
      </w:r>
    </w:p>
    <w:p w14:paraId="2A9F120D"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En ese tenor,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Constitución local conforme a las bases establecidas en el artículo en cita.</w:t>
      </w:r>
    </w:p>
    <w:p w14:paraId="33844421"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Integración del Poder Judicial</w:t>
      </w:r>
    </w:p>
    <w:p w14:paraId="743683CC"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Que, de acuerdo con el artículo 55 de la Constitución local, el ejercicio del Poder Judicial se deposita en el Tribunal Superior de Justicia, el Tribunal de Disciplina Judicial y los juzgados que dicha Constitución y las leyes establezcan, los cuales administrarán justicia pronta y gratuita, de manera independiente e imparcial; asimismo, contarán con las atribuciones, competencias, organización, personal y demás funciones inherentes.</w:t>
      </w:r>
    </w:p>
    <w:p w14:paraId="6A6B12D5"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 xml:space="preserve">Renovación del Poder Judicial </w:t>
      </w:r>
    </w:p>
    <w:p w14:paraId="28BE5A9C"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Que, el artículo 56 de la Constitución local dispone que, las Magistradas y Magistrados del Tribunal de Disciplina Judicial y las Magistradas y Magistrados, Juezas y Jueces del Tribunal Superior de Justicia, serán electos de manera libre, directa y secreta por la ciudadanía el día que se realicen las elecciones locales ordinarias del año que corresponda.</w:t>
      </w:r>
    </w:p>
    <w:p w14:paraId="29A6D55C"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Distritos judiciales</w:t>
      </w:r>
    </w:p>
    <w:p w14:paraId="0053F73A"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Que, en términos del artículo 5 de la Ley Orgánica del Poder Judicial del Estado de Tabasco, el Pleno del Consejo de la Judicatura emitió el acuerdo general 08/2016 aprobado por el Pleno del Tribunal Superior de Justicia el 21 de septiembre de 2016, mediante el cual, para los efectos de la administración de justicia, determinó los distritos judiciales en los que se divide la entidad, fijándoles la sede y competencia por materia de cada uno de ellos, de acuerdo con lo siguiente:</w:t>
      </w:r>
    </w:p>
    <w:p w14:paraId="30402684"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Primer distrito. -</w:t>
      </w:r>
      <w:r w:rsidRPr="007536A1">
        <w:rPr>
          <w:rFonts w:ascii="Arial" w:hAnsi="Arial" w:cs="Arial"/>
          <w:sz w:val="22"/>
          <w:szCs w:val="22"/>
          <w:lang w:val="es-MX"/>
        </w:rPr>
        <w:t xml:space="preserve"> Municipio del Centro con sede en la ciudad de Villahermosa;</w:t>
      </w:r>
    </w:p>
    <w:p w14:paraId="28126382"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Segundo distrito. -</w:t>
      </w:r>
      <w:r w:rsidRPr="007536A1">
        <w:rPr>
          <w:rFonts w:ascii="Arial" w:hAnsi="Arial" w:cs="Arial"/>
          <w:sz w:val="22"/>
          <w:szCs w:val="22"/>
          <w:lang w:val="es-MX"/>
        </w:rPr>
        <w:t xml:space="preserve"> Municipio de Centla, con sede en la ciudad de Frontera;</w:t>
      </w:r>
    </w:p>
    <w:p w14:paraId="64803403"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lastRenderedPageBreak/>
        <w:t>Tercer distrito. -</w:t>
      </w:r>
      <w:r w:rsidRPr="007536A1">
        <w:rPr>
          <w:rFonts w:ascii="Arial" w:hAnsi="Arial" w:cs="Arial"/>
          <w:sz w:val="22"/>
          <w:szCs w:val="22"/>
          <w:lang w:val="es-MX"/>
        </w:rPr>
        <w:t xml:space="preserve"> Municipio de Jalpa de Méndez, con sede en la ciudad de Jalpa de Méndez;</w:t>
      </w:r>
    </w:p>
    <w:p w14:paraId="2558435D"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Cuarto distrito. -</w:t>
      </w:r>
      <w:r w:rsidRPr="007536A1">
        <w:rPr>
          <w:rFonts w:ascii="Arial" w:hAnsi="Arial" w:cs="Arial"/>
          <w:sz w:val="22"/>
          <w:szCs w:val="22"/>
          <w:lang w:val="es-MX"/>
        </w:rPr>
        <w:t xml:space="preserve"> Municipio de Cunduacán, con sede en la ciudad de Cunduacán;</w:t>
      </w:r>
    </w:p>
    <w:p w14:paraId="461D0C52"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Quinto distrito. -</w:t>
      </w:r>
      <w:r w:rsidRPr="007536A1">
        <w:rPr>
          <w:rFonts w:ascii="Arial" w:hAnsi="Arial" w:cs="Arial"/>
          <w:sz w:val="22"/>
          <w:szCs w:val="22"/>
          <w:lang w:val="es-MX"/>
        </w:rPr>
        <w:t xml:space="preserve"> Municipio de Comalcalco, con sede en la ciudad de Comalcalco;</w:t>
      </w:r>
    </w:p>
    <w:p w14:paraId="636E6ED8"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Sexto distrito. -</w:t>
      </w:r>
      <w:r w:rsidRPr="007536A1">
        <w:rPr>
          <w:rFonts w:ascii="Arial" w:hAnsi="Arial" w:cs="Arial"/>
          <w:sz w:val="22"/>
          <w:szCs w:val="22"/>
          <w:lang w:val="es-MX"/>
        </w:rPr>
        <w:t xml:space="preserve"> Municipio de Cárdenas, con sede en la ciudad de Cárdenas, con excepción de los poblados y comunidades que corresponden al Décimo Octavo Distrito;</w:t>
      </w:r>
    </w:p>
    <w:p w14:paraId="1E9F3222"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Séptimo distrito. -</w:t>
      </w:r>
      <w:r w:rsidRPr="007536A1">
        <w:rPr>
          <w:rFonts w:ascii="Arial" w:hAnsi="Arial" w:cs="Arial"/>
          <w:sz w:val="22"/>
          <w:szCs w:val="22"/>
          <w:lang w:val="es-MX"/>
        </w:rPr>
        <w:t xml:space="preserve"> Municipio de Huimanguillo, con sede en la ciudad de Huimanguillo, con excepción de los poblados y comunidades que corresponden al Décimo Octavo Distrito;</w:t>
      </w:r>
    </w:p>
    <w:p w14:paraId="5C52F7C6"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Octavo distrito. -</w:t>
      </w:r>
      <w:r w:rsidRPr="007536A1">
        <w:rPr>
          <w:rFonts w:ascii="Arial" w:hAnsi="Arial" w:cs="Arial"/>
          <w:sz w:val="22"/>
          <w:szCs w:val="22"/>
          <w:lang w:val="es-MX"/>
        </w:rPr>
        <w:t xml:space="preserve"> Municipio de Teapa con sede en la ciudad de Teapa;</w:t>
      </w:r>
    </w:p>
    <w:p w14:paraId="75F85452"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Noveno distrito. -</w:t>
      </w:r>
      <w:r w:rsidRPr="007536A1">
        <w:rPr>
          <w:rFonts w:ascii="Arial" w:hAnsi="Arial" w:cs="Arial"/>
          <w:sz w:val="22"/>
          <w:szCs w:val="22"/>
          <w:lang w:val="es-MX"/>
        </w:rPr>
        <w:t xml:space="preserve"> Municipio de Macuspana con sede en la ciudad de Macuspana; con excepción de los poblados y comunidades que corresponden al décimo noveno distrito en materia civil.</w:t>
      </w:r>
    </w:p>
    <w:p w14:paraId="52C7D57C"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distrito. -</w:t>
      </w:r>
      <w:r w:rsidRPr="007536A1">
        <w:rPr>
          <w:rFonts w:ascii="Arial" w:hAnsi="Arial" w:cs="Arial"/>
          <w:sz w:val="22"/>
          <w:szCs w:val="22"/>
          <w:lang w:val="es-MX"/>
        </w:rPr>
        <w:t xml:space="preserve"> Municipio de Emiliano Zapata con sede en la ciudad de Emiliano Zapata;</w:t>
      </w:r>
    </w:p>
    <w:p w14:paraId="5755CE16"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primer distrito. -</w:t>
      </w:r>
      <w:r w:rsidRPr="007536A1">
        <w:rPr>
          <w:rFonts w:ascii="Arial" w:hAnsi="Arial" w:cs="Arial"/>
          <w:sz w:val="22"/>
          <w:szCs w:val="22"/>
          <w:lang w:val="es-MX"/>
        </w:rPr>
        <w:t xml:space="preserve"> Municipio de Tenosique, con sede en la ciudad de Tenosique;</w:t>
      </w:r>
    </w:p>
    <w:p w14:paraId="11D00C3E"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segundo distrito. -</w:t>
      </w:r>
      <w:r w:rsidRPr="007536A1">
        <w:rPr>
          <w:rFonts w:ascii="Arial" w:hAnsi="Arial" w:cs="Arial"/>
          <w:sz w:val="22"/>
          <w:szCs w:val="22"/>
          <w:lang w:val="es-MX"/>
        </w:rPr>
        <w:t xml:space="preserve"> Municipio de Paraíso, con sede en la ciudad de Paraíso;</w:t>
      </w:r>
    </w:p>
    <w:p w14:paraId="75726FBA"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tercer distrito. -</w:t>
      </w:r>
      <w:r w:rsidRPr="007536A1">
        <w:rPr>
          <w:rFonts w:ascii="Arial" w:hAnsi="Arial" w:cs="Arial"/>
          <w:sz w:val="22"/>
          <w:szCs w:val="22"/>
          <w:lang w:val="es-MX"/>
        </w:rPr>
        <w:t xml:space="preserve"> Municipio de Jonuta, con sede en la ciudad de Jonuta;</w:t>
      </w:r>
    </w:p>
    <w:p w14:paraId="42351E2B"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cuarto distrito. -</w:t>
      </w:r>
      <w:r w:rsidRPr="007536A1">
        <w:rPr>
          <w:rFonts w:ascii="Arial" w:hAnsi="Arial" w:cs="Arial"/>
          <w:sz w:val="22"/>
          <w:szCs w:val="22"/>
          <w:lang w:val="es-MX"/>
        </w:rPr>
        <w:t xml:space="preserve"> Municipio de Balancán, con sede en la ciudad de Balancán;</w:t>
      </w:r>
    </w:p>
    <w:p w14:paraId="0AD32B2B"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quinto distrito. -</w:t>
      </w:r>
      <w:r w:rsidRPr="007536A1">
        <w:rPr>
          <w:rFonts w:ascii="Arial" w:hAnsi="Arial" w:cs="Arial"/>
          <w:sz w:val="22"/>
          <w:szCs w:val="22"/>
          <w:lang w:val="es-MX"/>
        </w:rPr>
        <w:t xml:space="preserve"> Municipio de Jalapa, con sede en la ciudad de Jalapa;</w:t>
      </w:r>
    </w:p>
    <w:p w14:paraId="622BD867"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sexto distrito. -</w:t>
      </w:r>
      <w:r w:rsidRPr="007536A1">
        <w:rPr>
          <w:rFonts w:ascii="Arial" w:hAnsi="Arial" w:cs="Arial"/>
          <w:sz w:val="22"/>
          <w:szCs w:val="22"/>
          <w:lang w:val="es-MX"/>
        </w:rPr>
        <w:t xml:space="preserve"> Municipio de Nacajuca, con sede en la ciudad de Nacajuca;</w:t>
      </w:r>
    </w:p>
    <w:p w14:paraId="4719C1B5"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séptimo distrito. -</w:t>
      </w:r>
      <w:r w:rsidRPr="007536A1">
        <w:rPr>
          <w:rFonts w:ascii="Arial" w:hAnsi="Arial" w:cs="Arial"/>
          <w:sz w:val="22"/>
          <w:szCs w:val="22"/>
          <w:lang w:val="es-MX"/>
        </w:rPr>
        <w:t xml:space="preserve"> Municipio de Tacotalpa, con sede en la ciudad de Tacotalpa;</w:t>
      </w:r>
    </w:p>
    <w:p w14:paraId="422911DF"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lastRenderedPageBreak/>
        <w:t>Décimo octavo distrito. -</w:t>
      </w:r>
      <w:r w:rsidRPr="007536A1">
        <w:rPr>
          <w:rFonts w:ascii="Arial" w:hAnsi="Arial" w:cs="Arial"/>
          <w:sz w:val="22"/>
          <w:szCs w:val="22"/>
          <w:lang w:val="es-MX"/>
        </w:rPr>
        <w:t xml:space="preserve"> Villa la Venta y los Ejidos el Chapo, Francisco Trujillo Gurría, Tres Bocas Segunda Sección, (El Zapotal), Luis Cabrera, La Ceiba Primera y Segunda Sección, Paraíso, Francisco I. Madero, La Cangrejera, Cuauhtémoc, Aquiles Serdán, (La Florida) Primera y Tercera Sección, (Ampliación), </w:t>
      </w:r>
      <w:proofErr w:type="spellStart"/>
      <w:r w:rsidRPr="007536A1">
        <w:rPr>
          <w:rFonts w:ascii="Arial" w:hAnsi="Arial" w:cs="Arial"/>
          <w:sz w:val="22"/>
          <w:szCs w:val="22"/>
          <w:lang w:val="es-MX"/>
        </w:rPr>
        <w:t>Cuauhtemoczin</w:t>
      </w:r>
      <w:proofErr w:type="spellEnd"/>
      <w:r w:rsidRPr="007536A1">
        <w:rPr>
          <w:rFonts w:ascii="Arial" w:hAnsi="Arial" w:cs="Arial"/>
          <w:sz w:val="22"/>
          <w:szCs w:val="22"/>
          <w:lang w:val="es-MX"/>
        </w:rPr>
        <w:t xml:space="preserve">, El Barí Primera y Segunda Sección, 5 Presidentes, </w:t>
      </w:r>
      <w:proofErr w:type="spellStart"/>
      <w:r w:rsidRPr="007536A1">
        <w:rPr>
          <w:rFonts w:ascii="Arial" w:hAnsi="Arial" w:cs="Arial"/>
          <w:sz w:val="22"/>
          <w:szCs w:val="22"/>
          <w:lang w:val="es-MX"/>
        </w:rPr>
        <w:t>Blasillo</w:t>
      </w:r>
      <w:proofErr w:type="spellEnd"/>
      <w:r w:rsidRPr="007536A1">
        <w:rPr>
          <w:rFonts w:ascii="Arial" w:hAnsi="Arial" w:cs="Arial"/>
          <w:sz w:val="22"/>
          <w:szCs w:val="22"/>
          <w:lang w:val="es-MX"/>
        </w:rPr>
        <w:t xml:space="preserve"> Primera Sección, (Nicolás Bravo), Segunda y Cuarta Sección y José María Morelos, del Municipio de Huimanguillo, Tabasco; y la Villa y Puerto de Sánchez Magallanes, Villa Benito Juárez, Los Ejidos Sinaloa, San Rafael, Alacrán, Ley Federal de Reforma Agraria, Ejido </w:t>
      </w:r>
      <w:proofErr w:type="spellStart"/>
      <w:r w:rsidRPr="007536A1">
        <w:rPr>
          <w:rFonts w:ascii="Arial" w:hAnsi="Arial" w:cs="Arial"/>
          <w:sz w:val="22"/>
          <w:szCs w:val="22"/>
          <w:lang w:val="es-MX"/>
        </w:rPr>
        <w:t>Ojoxal</w:t>
      </w:r>
      <w:proofErr w:type="spellEnd"/>
      <w:r w:rsidRPr="007536A1">
        <w:rPr>
          <w:rFonts w:ascii="Arial" w:hAnsi="Arial" w:cs="Arial"/>
          <w:sz w:val="22"/>
          <w:szCs w:val="22"/>
          <w:lang w:val="es-MX"/>
        </w:rPr>
        <w:t xml:space="preserve">, Chicozapote, Buena Vista Primera y Segunda Sección, Ranchería </w:t>
      </w:r>
      <w:proofErr w:type="spellStart"/>
      <w:r w:rsidRPr="007536A1">
        <w:rPr>
          <w:rFonts w:ascii="Arial" w:hAnsi="Arial" w:cs="Arial"/>
          <w:sz w:val="22"/>
          <w:szCs w:val="22"/>
          <w:lang w:val="es-MX"/>
        </w:rPr>
        <w:t>Manatinero</w:t>
      </w:r>
      <w:proofErr w:type="spellEnd"/>
      <w:r w:rsidRPr="007536A1">
        <w:rPr>
          <w:rFonts w:ascii="Arial" w:hAnsi="Arial" w:cs="Arial"/>
          <w:sz w:val="22"/>
          <w:szCs w:val="22"/>
          <w:lang w:val="es-MX"/>
        </w:rPr>
        <w:t>, San Ramón, Colonias Pailebot, el Retiro y Congregación el Yucateco, de Cárdenas, Tabasco, con sede en Villa la Venta, Huimanguillo, Tabasco.</w:t>
      </w:r>
    </w:p>
    <w:p w14:paraId="3C9F7F0A" w14:textId="77777777" w:rsidR="00012AE7" w:rsidRPr="007536A1" w:rsidRDefault="00012AE7" w:rsidP="00012AE7">
      <w:pPr>
        <w:numPr>
          <w:ilvl w:val="0"/>
          <w:numId w:val="2"/>
        </w:numPr>
        <w:rPr>
          <w:rFonts w:ascii="Arial" w:hAnsi="Arial" w:cs="Arial"/>
          <w:sz w:val="22"/>
          <w:szCs w:val="22"/>
          <w:lang w:val="es-MX"/>
        </w:rPr>
      </w:pPr>
      <w:r w:rsidRPr="007536A1">
        <w:rPr>
          <w:rFonts w:ascii="Arial" w:hAnsi="Arial" w:cs="Arial"/>
          <w:b/>
          <w:sz w:val="22"/>
          <w:szCs w:val="22"/>
          <w:lang w:val="es-MX"/>
        </w:rPr>
        <w:t>Décimo noveno distrito. -</w:t>
      </w:r>
      <w:r w:rsidRPr="007536A1">
        <w:rPr>
          <w:rFonts w:ascii="Arial" w:hAnsi="Arial" w:cs="Arial"/>
          <w:sz w:val="22"/>
          <w:szCs w:val="22"/>
          <w:lang w:val="es-MX"/>
        </w:rPr>
        <w:t xml:space="preserve"> Las comunidades siguientes: Los </w:t>
      </w:r>
      <w:proofErr w:type="spellStart"/>
      <w:r w:rsidRPr="007536A1">
        <w:rPr>
          <w:rFonts w:ascii="Arial" w:hAnsi="Arial" w:cs="Arial"/>
          <w:sz w:val="22"/>
          <w:szCs w:val="22"/>
          <w:lang w:val="es-MX"/>
        </w:rPr>
        <w:t>Bitzales</w:t>
      </w:r>
      <w:proofErr w:type="spellEnd"/>
      <w:r w:rsidRPr="007536A1">
        <w:rPr>
          <w:rFonts w:ascii="Arial" w:hAnsi="Arial" w:cs="Arial"/>
          <w:sz w:val="22"/>
          <w:szCs w:val="22"/>
          <w:lang w:val="es-MX"/>
        </w:rPr>
        <w:t xml:space="preserve">, Los Naranjos, La Pitahaya, José Galeana, Santos Degollado, Miguel Hidalgo, Cuarta Sección, Limón, Veinte de Noviembre, Galeana, </w:t>
      </w:r>
      <w:proofErr w:type="spellStart"/>
      <w:r w:rsidRPr="007536A1">
        <w:rPr>
          <w:rFonts w:ascii="Arial" w:hAnsi="Arial" w:cs="Arial"/>
          <w:sz w:val="22"/>
          <w:szCs w:val="22"/>
          <w:lang w:val="es-MX"/>
        </w:rPr>
        <w:t>Cacahuatillo</w:t>
      </w:r>
      <w:proofErr w:type="spellEnd"/>
      <w:r w:rsidRPr="007536A1">
        <w:rPr>
          <w:rFonts w:ascii="Arial" w:hAnsi="Arial" w:cs="Arial"/>
          <w:sz w:val="22"/>
          <w:szCs w:val="22"/>
          <w:lang w:val="es-MX"/>
        </w:rPr>
        <w:t xml:space="preserve">, José López Portillo, Monte Largo, Villa Benito Juárez, Los Vernet, El Congo, Aquiles Serdán, Villa </w:t>
      </w:r>
      <w:proofErr w:type="spellStart"/>
      <w:r w:rsidRPr="007536A1">
        <w:rPr>
          <w:rFonts w:ascii="Arial" w:hAnsi="Arial" w:cs="Arial"/>
          <w:sz w:val="22"/>
          <w:szCs w:val="22"/>
          <w:lang w:val="es-MX"/>
        </w:rPr>
        <w:t>Tepetitán</w:t>
      </w:r>
      <w:proofErr w:type="spellEnd"/>
      <w:r w:rsidRPr="007536A1">
        <w:rPr>
          <w:rFonts w:ascii="Arial" w:hAnsi="Arial" w:cs="Arial"/>
          <w:sz w:val="22"/>
          <w:szCs w:val="22"/>
          <w:lang w:val="es-MX"/>
        </w:rPr>
        <w:t xml:space="preserve">, El Triunfo, El </w:t>
      </w:r>
      <w:proofErr w:type="spellStart"/>
      <w:r w:rsidRPr="007536A1">
        <w:rPr>
          <w:rFonts w:ascii="Arial" w:hAnsi="Arial" w:cs="Arial"/>
          <w:sz w:val="22"/>
          <w:szCs w:val="22"/>
          <w:lang w:val="es-MX"/>
        </w:rPr>
        <w:t>Chiquihuite</w:t>
      </w:r>
      <w:proofErr w:type="spellEnd"/>
      <w:r w:rsidRPr="007536A1">
        <w:rPr>
          <w:rFonts w:ascii="Arial" w:hAnsi="Arial" w:cs="Arial"/>
          <w:sz w:val="22"/>
          <w:szCs w:val="22"/>
          <w:lang w:val="es-MX"/>
        </w:rPr>
        <w:t xml:space="preserve">, El Maluco, </w:t>
      </w:r>
      <w:proofErr w:type="spellStart"/>
      <w:r w:rsidRPr="007536A1">
        <w:rPr>
          <w:rFonts w:ascii="Arial" w:hAnsi="Arial" w:cs="Arial"/>
          <w:sz w:val="22"/>
          <w:szCs w:val="22"/>
          <w:lang w:val="es-MX"/>
        </w:rPr>
        <w:t>Límbano</w:t>
      </w:r>
      <w:proofErr w:type="spellEnd"/>
      <w:r w:rsidRPr="007536A1">
        <w:rPr>
          <w:rFonts w:ascii="Arial" w:hAnsi="Arial" w:cs="Arial"/>
          <w:sz w:val="22"/>
          <w:szCs w:val="22"/>
          <w:lang w:val="es-MX"/>
        </w:rPr>
        <w:t xml:space="preserve"> </w:t>
      </w:r>
      <w:proofErr w:type="spellStart"/>
      <w:r w:rsidRPr="007536A1">
        <w:rPr>
          <w:rFonts w:ascii="Arial" w:hAnsi="Arial" w:cs="Arial"/>
          <w:sz w:val="22"/>
          <w:szCs w:val="22"/>
          <w:lang w:val="es-MX"/>
        </w:rPr>
        <w:t>Blandín</w:t>
      </w:r>
      <w:proofErr w:type="spellEnd"/>
      <w:r w:rsidRPr="007536A1">
        <w:rPr>
          <w:rFonts w:ascii="Arial" w:hAnsi="Arial" w:cs="Arial"/>
          <w:sz w:val="22"/>
          <w:szCs w:val="22"/>
          <w:lang w:val="es-MX"/>
        </w:rPr>
        <w:t>, San Antonio y Ciudad Pemex; todos del municipio de Macuspana, Tabasco.</w:t>
      </w:r>
    </w:p>
    <w:p w14:paraId="4DD9731B"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Regiones judiciales en materia laboral</w:t>
      </w:r>
    </w:p>
    <w:p w14:paraId="2A21AFCC"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Que, mediante acuerdo 07/2020, el Pleno del Consejo de la Judicatura del Poder Judicial del Estado de Tabasco, determinó que, para la impartición de justicia en materia laboral, se divide el estado en las tres regiones judiciales siguientes:</w:t>
      </w:r>
    </w:p>
    <w:p w14:paraId="6961E88B" w14:textId="77777777" w:rsidR="00012AE7" w:rsidRPr="007536A1" w:rsidRDefault="00012AE7" w:rsidP="00012AE7">
      <w:pPr>
        <w:numPr>
          <w:ilvl w:val="0"/>
          <w:numId w:val="3"/>
        </w:numPr>
        <w:rPr>
          <w:rFonts w:ascii="Arial" w:hAnsi="Arial" w:cs="Arial"/>
          <w:sz w:val="22"/>
          <w:szCs w:val="22"/>
          <w:lang w:val="es-MX"/>
        </w:rPr>
      </w:pPr>
      <w:r w:rsidRPr="007536A1">
        <w:rPr>
          <w:rFonts w:ascii="Arial" w:hAnsi="Arial" w:cs="Arial"/>
          <w:b/>
          <w:bCs/>
          <w:sz w:val="22"/>
          <w:szCs w:val="22"/>
          <w:lang w:val="es-MX"/>
        </w:rPr>
        <w:t>Región 1.</w:t>
      </w:r>
      <w:r w:rsidRPr="007536A1">
        <w:rPr>
          <w:rFonts w:ascii="Arial" w:hAnsi="Arial" w:cs="Arial"/>
          <w:sz w:val="22"/>
          <w:szCs w:val="22"/>
          <w:lang w:val="es-MX"/>
        </w:rPr>
        <w:t xml:space="preserve"> Con sede en la ciudad de Villahermosa, cuya competencia territorial comprende los municipios de Centro, Centla, Jalapa, Nacajuca, Tacotalpa y Teapa.</w:t>
      </w:r>
    </w:p>
    <w:p w14:paraId="6C23089E" w14:textId="77777777" w:rsidR="00012AE7" w:rsidRPr="007536A1" w:rsidRDefault="00012AE7" w:rsidP="00012AE7">
      <w:pPr>
        <w:numPr>
          <w:ilvl w:val="0"/>
          <w:numId w:val="3"/>
        </w:numPr>
        <w:rPr>
          <w:rFonts w:ascii="Arial" w:hAnsi="Arial" w:cs="Arial"/>
          <w:sz w:val="22"/>
          <w:szCs w:val="22"/>
          <w:lang w:val="es-MX"/>
        </w:rPr>
      </w:pPr>
      <w:r w:rsidRPr="007536A1">
        <w:rPr>
          <w:rFonts w:ascii="Arial" w:hAnsi="Arial" w:cs="Arial"/>
          <w:b/>
          <w:bCs/>
          <w:sz w:val="22"/>
          <w:szCs w:val="22"/>
          <w:lang w:val="es-MX"/>
        </w:rPr>
        <w:t>Región 2.</w:t>
      </w:r>
      <w:r w:rsidRPr="007536A1">
        <w:rPr>
          <w:rFonts w:ascii="Arial" w:hAnsi="Arial" w:cs="Arial"/>
          <w:sz w:val="22"/>
          <w:szCs w:val="22"/>
          <w:lang w:val="es-MX"/>
        </w:rPr>
        <w:t xml:space="preserve"> Con sede en Cunduacán; y cuya competencia territorial comprende los municipios de Cunduacán, Cárdenas, Comalcalco, Huimanguillo, Jalpa de Méndez y Paraíso.</w:t>
      </w:r>
    </w:p>
    <w:p w14:paraId="170E735D" w14:textId="77777777" w:rsidR="00012AE7" w:rsidRPr="007536A1" w:rsidRDefault="00012AE7" w:rsidP="00012AE7">
      <w:pPr>
        <w:numPr>
          <w:ilvl w:val="0"/>
          <w:numId w:val="3"/>
        </w:numPr>
        <w:rPr>
          <w:rFonts w:ascii="Arial" w:hAnsi="Arial" w:cs="Arial"/>
          <w:sz w:val="22"/>
          <w:szCs w:val="22"/>
          <w:lang w:val="es-MX"/>
        </w:rPr>
      </w:pPr>
      <w:r w:rsidRPr="007536A1">
        <w:rPr>
          <w:rFonts w:ascii="Arial" w:hAnsi="Arial" w:cs="Arial"/>
          <w:b/>
          <w:bCs/>
          <w:sz w:val="22"/>
          <w:szCs w:val="22"/>
          <w:lang w:val="es-MX"/>
        </w:rPr>
        <w:t>Región 3.</w:t>
      </w:r>
      <w:r w:rsidRPr="007536A1">
        <w:rPr>
          <w:rFonts w:ascii="Arial" w:hAnsi="Arial" w:cs="Arial"/>
          <w:sz w:val="22"/>
          <w:szCs w:val="22"/>
          <w:lang w:val="es-MX"/>
        </w:rPr>
        <w:t xml:space="preserve"> Con sede en Macuspana y su competencia territorial comprende los municipios de Macuspana, Balancán, Emiliano Zapata, Jonuta y Tenosique.</w:t>
      </w:r>
    </w:p>
    <w:p w14:paraId="206C61DF"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Proceso electoral de las personas juzgadoras</w:t>
      </w:r>
    </w:p>
    <w:p w14:paraId="78F36C7E"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 xml:space="preserve">Que, el artículo 386 numeral 1 de la Ley Electoral dispone que, el proceso electoral de las personas juzgadoras del Poder Judicial es el conjunto de actos ordenados por la Constitución Local y la Ley Electoral, realizado por las autoridades electorales, el Congreso </w:t>
      </w:r>
      <w:r w:rsidRPr="007536A1">
        <w:rPr>
          <w:rFonts w:ascii="Arial" w:hAnsi="Arial" w:cs="Arial"/>
          <w:sz w:val="22"/>
          <w:szCs w:val="22"/>
          <w:lang w:val="es-MX"/>
        </w:rPr>
        <w:lastRenderedPageBreak/>
        <w:t>del Estado, así como la ciudadanía, que tiene por objeto la renovación periódica de las personas juzgadoras que integran el Poder Judicial.</w:t>
      </w:r>
    </w:p>
    <w:p w14:paraId="2D961EBA"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Derecho de la ciudadanía a participar en los procesos de selección y evaluación de candidaturas</w:t>
      </w:r>
    </w:p>
    <w:p w14:paraId="73259045"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031CAAF2"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Cargos por elegir en el Proceso Electoral Extraordinario</w:t>
      </w:r>
    </w:p>
    <w:p w14:paraId="7DD6AD66"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Que, de acuerdo con el Segundo Transitorio del Decreto 080 constitucional, en el Proceso Electoral Extraordinario se elegirán a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p>
    <w:p w14:paraId="2FC717B2"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En ese sentido, para el Proceso Electoral Extraordinario se elegirán 72 cargos de elección, distribuidos de acuerdo con la siguiente forma y especialidad:</w:t>
      </w:r>
    </w:p>
    <w:p w14:paraId="03E4D8F7" w14:textId="77777777" w:rsidR="00012AE7" w:rsidRPr="007536A1" w:rsidRDefault="00012AE7" w:rsidP="008F2ED9">
      <w:pPr>
        <w:pStyle w:val="Prrafodelista"/>
        <w:numPr>
          <w:ilvl w:val="0"/>
          <w:numId w:val="11"/>
        </w:numPr>
        <w:ind w:left="680" w:hanging="680"/>
        <w:rPr>
          <w:rFonts w:ascii="Arial" w:hAnsi="Arial" w:cs="Arial"/>
          <w:sz w:val="22"/>
          <w:szCs w:val="22"/>
          <w:lang w:val="es-MX"/>
        </w:rPr>
      </w:pPr>
      <w:r w:rsidRPr="007536A1">
        <w:rPr>
          <w:rFonts w:ascii="Arial" w:hAnsi="Arial" w:cs="Arial"/>
          <w:sz w:val="22"/>
          <w:szCs w:val="22"/>
          <w:lang w:val="es-MX"/>
        </w:rPr>
        <w:t>5 Magistraturas del Tribunal de Disciplina Judicial;</w:t>
      </w:r>
    </w:p>
    <w:p w14:paraId="7D643246" w14:textId="77777777" w:rsidR="00012AE7" w:rsidRPr="007536A1" w:rsidRDefault="00012AE7" w:rsidP="008F2ED9">
      <w:pPr>
        <w:pStyle w:val="Prrafodelista"/>
        <w:numPr>
          <w:ilvl w:val="0"/>
          <w:numId w:val="11"/>
        </w:numPr>
        <w:ind w:left="680" w:hanging="680"/>
        <w:rPr>
          <w:rFonts w:ascii="Arial" w:hAnsi="Arial" w:cs="Arial"/>
          <w:sz w:val="22"/>
          <w:szCs w:val="22"/>
          <w:lang w:val="es-MX"/>
        </w:rPr>
      </w:pPr>
      <w:r w:rsidRPr="007536A1">
        <w:rPr>
          <w:rFonts w:ascii="Arial" w:hAnsi="Arial" w:cs="Arial"/>
          <w:sz w:val="22"/>
          <w:szCs w:val="22"/>
          <w:lang w:val="es-MX"/>
        </w:rPr>
        <w:t>12 Magistraturas del Pleno del Tribunal Superior de Justicia;</w:t>
      </w:r>
    </w:p>
    <w:p w14:paraId="07E9B0A1" w14:textId="77777777" w:rsidR="00012AE7" w:rsidRPr="007536A1" w:rsidRDefault="00012AE7" w:rsidP="008F2ED9">
      <w:pPr>
        <w:pStyle w:val="Prrafodelista"/>
        <w:numPr>
          <w:ilvl w:val="0"/>
          <w:numId w:val="11"/>
        </w:numPr>
        <w:ind w:left="680" w:hanging="680"/>
        <w:rPr>
          <w:rFonts w:ascii="Arial" w:hAnsi="Arial" w:cs="Arial"/>
          <w:sz w:val="22"/>
          <w:szCs w:val="22"/>
          <w:lang w:val="es-MX"/>
        </w:rPr>
      </w:pPr>
      <w:r w:rsidRPr="007536A1">
        <w:rPr>
          <w:rFonts w:ascii="Arial" w:hAnsi="Arial" w:cs="Arial"/>
          <w:sz w:val="22"/>
          <w:szCs w:val="22"/>
          <w:lang w:val="es-MX"/>
        </w:rPr>
        <w:t>19 juezas y jueces civiles;</w:t>
      </w:r>
    </w:p>
    <w:p w14:paraId="2B29B415" w14:textId="77777777" w:rsidR="00012AE7" w:rsidRPr="007536A1" w:rsidRDefault="00012AE7" w:rsidP="008F2ED9">
      <w:pPr>
        <w:pStyle w:val="Prrafodelista"/>
        <w:numPr>
          <w:ilvl w:val="0"/>
          <w:numId w:val="11"/>
        </w:numPr>
        <w:ind w:left="680" w:hanging="680"/>
        <w:rPr>
          <w:rFonts w:ascii="Arial" w:hAnsi="Arial" w:cs="Arial"/>
          <w:sz w:val="22"/>
          <w:szCs w:val="22"/>
          <w:lang w:val="es-MX"/>
        </w:rPr>
      </w:pPr>
      <w:r w:rsidRPr="007536A1">
        <w:rPr>
          <w:rFonts w:ascii="Arial" w:hAnsi="Arial" w:cs="Arial"/>
          <w:sz w:val="22"/>
          <w:szCs w:val="22"/>
          <w:lang w:val="es-MX"/>
        </w:rPr>
        <w:t>27 juezas y jueces en materia de oralidad penal;</w:t>
      </w:r>
    </w:p>
    <w:p w14:paraId="79EE47D1" w14:textId="77777777" w:rsidR="00012AE7" w:rsidRPr="007536A1" w:rsidRDefault="00012AE7" w:rsidP="008F2ED9">
      <w:pPr>
        <w:pStyle w:val="Prrafodelista"/>
        <w:numPr>
          <w:ilvl w:val="0"/>
          <w:numId w:val="11"/>
        </w:numPr>
        <w:ind w:left="680" w:hanging="680"/>
        <w:rPr>
          <w:rFonts w:ascii="Arial" w:hAnsi="Arial" w:cs="Arial"/>
          <w:sz w:val="22"/>
          <w:szCs w:val="22"/>
          <w:lang w:val="es-MX"/>
        </w:rPr>
      </w:pPr>
      <w:r w:rsidRPr="007536A1">
        <w:rPr>
          <w:rFonts w:ascii="Arial" w:hAnsi="Arial" w:cs="Arial"/>
          <w:sz w:val="22"/>
          <w:szCs w:val="22"/>
          <w:lang w:val="es-MX"/>
        </w:rPr>
        <w:t>3 juezas y jueces en materia familiar;</w:t>
      </w:r>
    </w:p>
    <w:p w14:paraId="454613FD" w14:textId="77777777" w:rsidR="00012AE7" w:rsidRPr="007536A1" w:rsidRDefault="00012AE7" w:rsidP="008F2ED9">
      <w:pPr>
        <w:pStyle w:val="Prrafodelista"/>
        <w:numPr>
          <w:ilvl w:val="0"/>
          <w:numId w:val="11"/>
        </w:numPr>
        <w:ind w:left="680" w:hanging="680"/>
        <w:rPr>
          <w:rFonts w:ascii="Arial" w:hAnsi="Arial" w:cs="Arial"/>
          <w:sz w:val="22"/>
          <w:szCs w:val="22"/>
          <w:lang w:val="es-MX"/>
        </w:rPr>
      </w:pPr>
      <w:r w:rsidRPr="007536A1">
        <w:rPr>
          <w:rFonts w:ascii="Arial" w:hAnsi="Arial" w:cs="Arial"/>
          <w:sz w:val="22"/>
          <w:szCs w:val="22"/>
          <w:lang w:val="es-MX"/>
        </w:rPr>
        <w:t>1 jueza o juez en materia de oralidad mercantil; y</w:t>
      </w:r>
    </w:p>
    <w:p w14:paraId="2C799C84" w14:textId="77777777" w:rsidR="00012AE7" w:rsidRPr="007536A1" w:rsidRDefault="00012AE7" w:rsidP="008F2ED9">
      <w:pPr>
        <w:pStyle w:val="Prrafodelista"/>
        <w:numPr>
          <w:ilvl w:val="0"/>
          <w:numId w:val="11"/>
        </w:numPr>
        <w:ind w:left="680" w:hanging="680"/>
        <w:rPr>
          <w:rFonts w:ascii="Arial" w:hAnsi="Arial" w:cs="Arial"/>
          <w:sz w:val="22"/>
          <w:szCs w:val="22"/>
          <w:lang w:val="es-MX"/>
        </w:rPr>
      </w:pPr>
      <w:r w:rsidRPr="007536A1">
        <w:rPr>
          <w:rFonts w:ascii="Arial" w:hAnsi="Arial" w:cs="Arial"/>
          <w:sz w:val="22"/>
          <w:szCs w:val="22"/>
          <w:lang w:val="es-MX"/>
        </w:rPr>
        <w:t>5 juezas y jueces en materia laboral.</w:t>
      </w:r>
    </w:p>
    <w:p w14:paraId="507631FE" w14:textId="77777777" w:rsidR="00012AE7" w:rsidRPr="007536A1" w:rsidRDefault="00012AE7" w:rsidP="00B85171">
      <w:pPr>
        <w:pStyle w:val="Ttulo2"/>
        <w:rPr>
          <w:rFonts w:ascii="Arial" w:hAnsi="Arial" w:cs="Arial"/>
          <w:sz w:val="22"/>
          <w:szCs w:val="22"/>
        </w:rPr>
      </w:pPr>
      <w:r w:rsidRPr="007536A1">
        <w:rPr>
          <w:rFonts w:ascii="Arial" w:hAnsi="Arial" w:cs="Arial"/>
          <w:sz w:val="22"/>
          <w:szCs w:val="22"/>
        </w:rPr>
        <w:t>Etapas del proceso electoral de las personas juzgadoras</w:t>
      </w:r>
    </w:p>
    <w:p w14:paraId="6168C665" w14:textId="4223278D" w:rsidR="00012AE7" w:rsidRDefault="00012AE7" w:rsidP="00012AE7">
      <w:pPr>
        <w:rPr>
          <w:rFonts w:ascii="Arial" w:hAnsi="Arial" w:cs="Arial"/>
          <w:sz w:val="22"/>
          <w:szCs w:val="22"/>
          <w:lang w:val="es-MX"/>
        </w:rPr>
      </w:pPr>
      <w:r w:rsidRPr="007536A1">
        <w:rPr>
          <w:rFonts w:ascii="Arial" w:hAnsi="Arial" w:cs="Arial"/>
          <w:sz w:val="22"/>
          <w:szCs w:val="22"/>
          <w:lang w:val="es-MX"/>
        </w:rPr>
        <w:t>Que, el artículo 387 numeral 1 de la Ley Electoral establece que, el proceso de elección de las personas juzgadoras del Poder Judicial comprende las siguientes etapas:</w:t>
      </w:r>
    </w:p>
    <w:p w14:paraId="59B12E74" w14:textId="77777777" w:rsidR="007536A1" w:rsidRPr="007536A1" w:rsidRDefault="007536A1" w:rsidP="00012AE7">
      <w:pPr>
        <w:rPr>
          <w:rFonts w:ascii="Arial" w:hAnsi="Arial" w:cs="Arial"/>
          <w:sz w:val="22"/>
          <w:szCs w:val="22"/>
          <w:lang w:val="es-MX"/>
        </w:rPr>
      </w:pPr>
    </w:p>
    <w:p w14:paraId="0B900AD4" w14:textId="77777777" w:rsidR="00012AE7" w:rsidRPr="007536A1" w:rsidRDefault="00012AE7" w:rsidP="008F2ED9">
      <w:pPr>
        <w:numPr>
          <w:ilvl w:val="0"/>
          <w:numId w:val="5"/>
        </w:numPr>
        <w:ind w:left="703" w:hanging="703"/>
        <w:contextualSpacing/>
        <w:rPr>
          <w:rFonts w:ascii="Arial" w:hAnsi="Arial" w:cs="Arial"/>
          <w:sz w:val="22"/>
          <w:szCs w:val="22"/>
          <w:lang w:val="es-MX"/>
        </w:rPr>
      </w:pPr>
      <w:r w:rsidRPr="007536A1">
        <w:rPr>
          <w:rFonts w:ascii="Arial" w:hAnsi="Arial" w:cs="Arial"/>
          <w:sz w:val="22"/>
          <w:szCs w:val="22"/>
          <w:lang w:val="es-MX"/>
        </w:rPr>
        <w:lastRenderedPageBreak/>
        <w:t>Preparación de la elección;</w:t>
      </w:r>
    </w:p>
    <w:p w14:paraId="2FFC1D57" w14:textId="77777777" w:rsidR="00012AE7" w:rsidRPr="007536A1" w:rsidRDefault="00012AE7" w:rsidP="008F2ED9">
      <w:pPr>
        <w:numPr>
          <w:ilvl w:val="0"/>
          <w:numId w:val="5"/>
        </w:numPr>
        <w:ind w:left="703" w:hanging="703"/>
        <w:contextualSpacing/>
        <w:rPr>
          <w:rFonts w:ascii="Arial" w:hAnsi="Arial" w:cs="Arial"/>
          <w:sz w:val="22"/>
          <w:szCs w:val="22"/>
          <w:lang w:val="es-MX"/>
        </w:rPr>
      </w:pPr>
      <w:r w:rsidRPr="007536A1">
        <w:rPr>
          <w:rFonts w:ascii="Arial" w:hAnsi="Arial" w:cs="Arial"/>
          <w:sz w:val="22"/>
          <w:szCs w:val="22"/>
          <w:lang w:val="es-MX"/>
        </w:rPr>
        <w:t>Convocatoria y postulación de candidaturas;</w:t>
      </w:r>
    </w:p>
    <w:p w14:paraId="75FE6087" w14:textId="77777777" w:rsidR="00012AE7" w:rsidRPr="007536A1" w:rsidRDefault="00012AE7" w:rsidP="008F2ED9">
      <w:pPr>
        <w:numPr>
          <w:ilvl w:val="0"/>
          <w:numId w:val="5"/>
        </w:numPr>
        <w:ind w:left="703" w:hanging="703"/>
        <w:contextualSpacing/>
        <w:rPr>
          <w:rFonts w:ascii="Arial" w:hAnsi="Arial" w:cs="Arial"/>
          <w:sz w:val="22"/>
          <w:szCs w:val="22"/>
          <w:lang w:val="es-MX"/>
        </w:rPr>
      </w:pPr>
      <w:r w:rsidRPr="007536A1">
        <w:rPr>
          <w:rFonts w:ascii="Arial" w:hAnsi="Arial" w:cs="Arial"/>
          <w:sz w:val="22"/>
          <w:szCs w:val="22"/>
          <w:lang w:val="es-MX"/>
        </w:rPr>
        <w:t>Jornada electoral;</w:t>
      </w:r>
    </w:p>
    <w:p w14:paraId="3ACA17A6" w14:textId="77777777" w:rsidR="00012AE7" w:rsidRPr="007536A1" w:rsidRDefault="00012AE7" w:rsidP="008F2ED9">
      <w:pPr>
        <w:numPr>
          <w:ilvl w:val="0"/>
          <w:numId w:val="5"/>
        </w:numPr>
        <w:ind w:left="703" w:hanging="703"/>
        <w:contextualSpacing/>
        <w:rPr>
          <w:rFonts w:ascii="Arial" w:hAnsi="Arial" w:cs="Arial"/>
          <w:sz w:val="22"/>
          <w:szCs w:val="22"/>
          <w:lang w:val="es-MX"/>
        </w:rPr>
      </w:pPr>
      <w:r w:rsidRPr="007536A1">
        <w:rPr>
          <w:rFonts w:ascii="Arial" w:hAnsi="Arial" w:cs="Arial"/>
          <w:sz w:val="22"/>
          <w:szCs w:val="22"/>
          <w:lang w:val="es-MX"/>
        </w:rPr>
        <w:t>Cómputos y sumatoria;</w:t>
      </w:r>
    </w:p>
    <w:p w14:paraId="75FA17D7" w14:textId="77777777" w:rsidR="00012AE7" w:rsidRPr="007536A1" w:rsidRDefault="00012AE7" w:rsidP="008F2ED9">
      <w:pPr>
        <w:numPr>
          <w:ilvl w:val="0"/>
          <w:numId w:val="5"/>
        </w:numPr>
        <w:ind w:left="703" w:hanging="703"/>
        <w:contextualSpacing/>
        <w:rPr>
          <w:rFonts w:ascii="Arial" w:hAnsi="Arial" w:cs="Arial"/>
          <w:sz w:val="22"/>
          <w:szCs w:val="22"/>
          <w:lang w:val="es-MX"/>
        </w:rPr>
      </w:pPr>
      <w:r w:rsidRPr="007536A1">
        <w:rPr>
          <w:rFonts w:ascii="Arial" w:hAnsi="Arial" w:cs="Arial"/>
          <w:sz w:val="22"/>
          <w:szCs w:val="22"/>
          <w:lang w:val="es-MX"/>
        </w:rPr>
        <w:t>Asignación de cargos, y</w:t>
      </w:r>
    </w:p>
    <w:p w14:paraId="16717976" w14:textId="77777777" w:rsidR="00012AE7" w:rsidRPr="007536A1" w:rsidRDefault="00012AE7" w:rsidP="000F01FD">
      <w:pPr>
        <w:numPr>
          <w:ilvl w:val="0"/>
          <w:numId w:val="5"/>
        </w:numPr>
        <w:spacing w:before="0"/>
        <w:ind w:left="703" w:hanging="703"/>
        <w:rPr>
          <w:rFonts w:ascii="Arial" w:hAnsi="Arial" w:cs="Arial"/>
          <w:sz w:val="22"/>
          <w:szCs w:val="22"/>
          <w:lang w:val="es-MX"/>
        </w:rPr>
      </w:pPr>
      <w:r w:rsidRPr="007536A1">
        <w:rPr>
          <w:rFonts w:ascii="Arial" w:hAnsi="Arial" w:cs="Arial"/>
          <w:sz w:val="22"/>
          <w:szCs w:val="22"/>
          <w:lang w:val="es-MX"/>
        </w:rPr>
        <w:t>La entrega de constancias de mayoría y declaración de validez de la elección.</w:t>
      </w:r>
    </w:p>
    <w:p w14:paraId="1A4D5C24"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24D4945E"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0A4C91F9"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En el caso de la jornada electoral, ésta inicia a las 8:00 horas del primer domingo de junio del año que corresponda y concluye con el cómputo de los votos en casilla, de conformidad con el numeral 4 del artículo 387 de la Ley Electoral.</w:t>
      </w:r>
    </w:p>
    <w:p w14:paraId="3688BD4C"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36D2DD28" w14:textId="77777777" w:rsidR="00012AE7" w:rsidRPr="007536A1" w:rsidRDefault="00012AE7" w:rsidP="00012AE7">
      <w:pPr>
        <w:rPr>
          <w:rFonts w:ascii="Arial" w:hAnsi="Arial" w:cs="Arial"/>
          <w:sz w:val="22"/>
          <w:szCs w:val="22"/>
          <w:lang w:val="es-MX"/>
        </w:rPr>
      </w:pPr>
      <w:r w:rsidRPr="007536A1">
        <w:rPr>
          <w:rFonts w:ascii="Arial" w:hAnsi="Arial" w:cs="Arial"/>
          <w:sz w:val="22"/>
          <w:szCs w:val="22"/>
          <w:lang w:val="es-MX"/>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527B2B7C" w14:textId="4B99450A" w:rsidR="00012AE7" w:rsidRDefault="00012AE7" w:rsidP="00012AE7">
      <w:pPr>
        <w:rPr>
          <w:rFonts w:ascii="Arial" w:hAnsi="Arial" w:cs="Arial"/>
          <w:sz w:val="22"/>
          <w:szCs w:val="22"/>
          <w:lang w:val="es-MX"/>
        </w:rPr>
      </w:pPr>
      <w:r w:rsidRPr="007536A1">
        <w:rPr>
          <w:rFonts w:ascii="Arial" w:hAnsi="Arial" w:cs="Arial"/>
          <w:sz w:val="22"/>
          <w:szCs w:val="22"/>
          <w:lang w:val="es-MX"/>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51FA66E0" w14:textId="222F032E" w:rsidR="007536A1" w:rsidRDefault="007536A1" w:rsidP="00012AE7">
      <w:pPr>
        <w:rPr>
          <w:rFonts w:ascii="Arial" w:hAnsi="Arial" w:cs="Arial"/>
          <w:sz w:val="22"/>
          <w:szCs w:val="22"/>
          <w:lang w:val="es-MX"/>
        </w:rPr>
      </w:pPr>
    </w:p>
    <w:p w14:paraId="0099D315" w14:textId="77777777" w:rsidR="007536A1" w:rsidRPr="007536A1" w:rsidRDefault="007536A1" w:rsidP="00012AE7">
      <w:pPr>
        <w:rPr>
          <w:rFonts w:ascii="Arial" w:hAnsi="Arial" w:cs="Arial"/>
          <w:sz w:val="22"/>
          <w:szCs w:val="22"/>
          <w:lang w:val="es-MX"/>
        </w:rPr>
      </w:pPr>
    </w:p>
    <w:p w14:paraId="1EDCFC88" w14:textId="77777777" w:rsidR="00B85171" w:rsidRPr="007536A1" w:rsidRDefault="00B85171" w:rsidP="00B85171">
      <w:pPr>
        <w:pStyle w:val="Ttulo2"/>
        <w:rPr>
          <w:rFonts w:ascii="Arial" w:hAnsi="Arial" w:cs="Arial"/>
          <w:sz w:val="22"/>
          <w:szCs w:val="22"/>
        </w:rPr>
      </w:pPr>
      <w:r w:rsidRPr="007536A1">
        <w:rPr>
          <w:rFonts w:ascii="Arial" w:hAnsi="Arial" w:cs="Arial"/>
          <w:sz w:val="22"/>
          <w:szCs w:val="22"/>
        </w:rPr>
        <w:lastRenderedPageBreak/>
        <w:t>Listado de personas postuladas conforme al tipo de elección</w:t>
      </w:r>
    </w:p>
    <w:p w14:paraId="1ED0C261" w14:textId="77777777" w:rsidR="00B85171" w:rsidRPr="007536A1" w:rsidRDefault="00B85171" w:rsidP="00B85171">
      <w:pPr>
        <w:widowControl w:val="0"/>
        <w:rPr>
          <w:rFonts w:ascii="Arial" w:hAnsi="Arial" w:cs="Arial"/>
          <w:sz w:val="22"/>
          <w:szCs w:val="22"/>
        </w:rPr>
      </w:pPr>
      <w:r w:rsidRPr="007536A1">
        <w:rPr>
          <w:rFonts w:ascii="Arial" w:hAnsi="Arial" w:cs="Arial"/>
          <w:sz w:val="22"/>
          <w:szCs w:val="22"/>
        </w:rPr>
        <w:t>Que, el artículo 390 numeral 1 de la Ley Electoral señala que, el Congreso integrará los listados y expedientes de las personas postuladas conforme al tipo de elección e incorporará a dichos listados a las personas juzgadoras que estén en funciones en los cargos señalados en los párrafos segundo y tercero del artículo 56 de la Constitución Local, exceptuando a aquellas que hayan manifestado ante el órgano legislativo la declinación de su candidatura dentro de los treinta días posteriores a la publicación de la convocatoria, y a quienes hayan sido postuladas para un cargo diverso al que ocupen.</w:t>
      </w:r>
    </w:p>
    <w:p w14:paraId="49BDB5F7" w14:textId="45BB09C4" w:rsidR="00B85171" w:rsidRPr="007536A1" w:rsidRDefault="00B85171" w:rsidP="00B85171">
      <w:pPr>
        <w:widowControl w:val="0"/>
        <w:rPr>
          <w:rFonts w:ascii="Arial" w:hAnsi="Arial" w:cs="Arial"/>
          <w:sz w:val="22"/>
          <w:szCs w:val="22"/>
        </w:rPr>
      </w:pPr>
      <w:r w:rsidRPr="007536A1">
        <w:rPr>
          <w:rFonts w:ascii="Arial" w:hAnsi="Arial" w:cs="Arial"/>
          <w:sz w:val="22"/>
          <w:szCs w:val="22"/>
        </w:rPr>
        <w:t>De conformidad con el numeral 3 del artículo en cita, el Congreso estará impedido de pronunciarse sobre la elegibilidad o idoneidad de las postulaciones que les sean remitidas y se limitar</w:t>
      </w:r>
      <w:r w:rsidR="009036B3" w:rsidRPr="007536A1">
        <w:rPr>
          <w:rFonts w:ascii="Arial" w:hAnsi="Arial" w:cs="Arial"/>
          <w:sz w:val="22"/>
          <w:szCs w:val="22"/>
        </w:rPr>
        <w:t>ía</w:t>
      </w:r>
      <w:r w:rsidRPr="007536A1">
        <w:rPr>
          <w:rFonts w:ascii="Arial" w:hAnsi="Arial" w:cs="Arial"/>
          <w:sz w:val="22"/>
          <w:szCs w:val="22"/>
        </w:rPr>
        <w:t xml:space="preserve"> a integrar y remitir los listados y sus expedientes al Instituto a más tardar el 12 de febrero del año de la elección que corresponda, a efecto de que organice el proceso electivo.</w:t>
      </w:r>
    </w:p>
    <w:p w14:paraId="0DFA9D73" w14:textId="77777777" w:rsidR="00B85171" w:rsidRPr="007536A1" w:rsidRDefault="00B85171" w:rsidP="00B85171">
      <w:pPr>
        <w:widowControl w:val="0"/>
        <w:rPr>
          <w:rFonts w:ascii="Arial" w:hAnsi="Arial" w:cs="Arial"/>
          <w:sz w:val="22"/>
          <w:szCs w:val="22"/>
        </w:rPr>
      </w:pPr>
      <w:r w:rsidRPr="007536A1">
        <w:rPr>
          <w:rFonts w:ascii="Arial" w:hAnsi="Arial" w:cs="Arial"/>
          <w:sz w:val="22"/>
          <w:szCs w:val="22"/>
        </w:rPr>
        <w:t>Conforme al artículo tercero transitorio del decreto 083 por el que se reforma la Ley Electoral, la Convocatoria General Pública expedida el 16 de enero de 2025 y publicada en el Periódico Oficial del Estado Extraordinario edición número 281, el Congreso Local estableció, de manera excepcional y por tratarse de una elección extraordinaria, que los listados y expedientes de las personas postuladas conforme al tipo de elección se remitirían al Instituto a más tardar el 28 de febrero de 2025.</w:t>
      </w:r>
    </w:p>
    <w:p w14:paraId="6276FAA6" w14:textId="77777777" w:rsidR="00B85171" w:rsidRPr="007536A1" w:rsidRDefault="00B85171" w:rsidP="00B85171">
      <w:pPr>
        <w:widowControl w:val="0"/>
        <w:rPr>
          <w:rFonts w:ascii="Arial" w:hAnsi="Arial" w:cs="Arial"/>
          <w:sz w:val="22"/>
          <w:szCs w:val="22"/>
        </w:rPr>
      </w:pPr>
      <w:r w:rsidRPr="007536A1">
        <w:rPr>
          <w:rFonts w:ascii="Arial" w:hAnsi="Arial" w:cs="Arial"/>
          <w:sz w:val="22"/>
          <w:szCs w:val="22"/>
        </w:rPr>
        <w:t>En cumplimiento a lo anterior, el Congreso Local remitió los listados y expedientes de las personas postuladas conforme al tipo de elección, incorporando en dichos listados a aquellas personas juzgadoras que están en funciones en los cargos señalados en los párrafos segundo y tercero del artículo 56 de la Constitución Local y que de forma expresa manifestaron su interés en participar en el Proceso Electoral Extraordinario. Asimismo, adjuntó el listado de personas que están en funciones pero que no manifestaron su declinación a la candidatura, a fin de que participen en el Proceso Electoral Extraordinario.</w:t>
      </w:r>
    </w:p>
    <w:p w14:paraId="097AA326" w14:textId="77777777" w:rsidR="00B85171" w:rsidRPr="007536A1" w:rsidRDefault="00B85171" w:rsidP="00B85171">
      <w:pPr>
        <w:pStyle w:val="Ttulo2"/>
        <w:rPr>
          <w:rFonts w:ascii="Arial" w:hAnsi="Arial" w:cs="Arial"/>
          <w:sz w:val="22"/>
          <w:szCs w:val="22"/>
        </w:rPr>
      </w:pPr>
      <w:r w:rsidRPr="007536A1">
        <w:rPr>
          <w:rFonts w:ascii="Arial" w:hAnsi="Arial" w:cs="Arial"/>
          <w:sz w:val="22"/>
          <w:szCs w:val="22"/>
        </w:rPr>
        <w:t xml:space="preserve">Difusión y publicación de los listados de personas postuladas </w:t>
      </w:r>
    </w:p>
    <w:p w14:paraId="40D1B169" w14:textId="1BFE2DFE" w:rsidR="00B85171" w:rsidRDefault="00B85171" w:rsidP="00B85171">
      <w:pPr>
        <w:widowControl w:val="0"/>
        <w:rPr>
          <w:rFonts w:ascii="Arial" w:hAnsi="Arial" w:cs="Arial"/>
          <w:sz w:val="22"/>
          <w:szCs w:val="22"/>
        </w:rPr>
      </w:pPr>
      <w:r w:rsidRPr="007536A1">
        <w:rPr>
          <w:rFonts w:ascii="Arial" w:hAnsi="Arial" w:cs="Arial"/>
          <w:sz w:val="22"/>
          <w:szCs w:val="22"/>
        </w:rPr>
        <w:t>Que, en cumplimiento a las disposiciones señaladas y conforme a los plazos establecidos en la Convocatoria General Pública, los Comités de Evaluación correspondientes determinaron la idoneidad de las personas aspirantes y formularon sus listas de personas mejor evaluadas para la aprobación de los Poderes Ejecutivo, Legislativo y Judicial, remitiendo, en su caso, el listado al Congreso del Estado para su presentación ante este órgano electoral.</w:t>
      </w:r>
    </w:p>
    <w:p w14:paraId="01372D2A" w14:textId="77777777" w:rsidR="007536A1" w:rsidRPr="007536A1" w:rsidRDefault="007536A1" w:rsidP="00B85171">
      <w:pPr>
        <w:widowControl w:val="0"/>
        <w:rPr>
          <w:rFonts w:ascii="Arial" w:hAnsi="Arial" w:cs="Arial"/>
          <w:sz w:val="22"/>
          <w:szCs w:val="22"/>
        </w:rPr>
      </w:pPr>
    </w:p>
    <w:p w14:paraId="478FE35C" w14:textId="77777777" w:rsidR="00B85171" w:rsidRPr="007536A1" w:rsidRDefault="00B85171" w:rsidP="00B85171">
      <w:pPr>
        <w:widowControl w:val="0"/>
        <w:rPr>
          <w:rFonts w:ascii="Arial" w:hAnsi="Arial" w:cs="Arial"/>
          <w:sz w:val="22"/>
          <w:szCs w:val="22"/>
        </w:rPr>
      </w:pPr>
      <w:r w:rsidRPr="007536A1">
        <w:rPr>
          <w:rFonts w:ascii="Arial" w:hAnsi="Arial" w:cs="Arial"/>
          <w:sz w:val="22"/>
          <w:szCs w:val="22"/>
        </w:rPr>
        <w:lastRenderedPageBreak/>
        <w:t>Una vez recibidos los listados y expedientes, la Coordinación de Prerrogativas y Partidos Políticos de este Instituto, verificó la información con el propósito de corroborar los datos de las personas postuladas; por su parte, la Secretaría Ejecutiva realizó los requerimientos necesarios conforme a los plazos establecidos en el acuerdo CE/2025/014 para la integración de la documentación correspondiente.</w:t>
      </w:r>
    </w:p>
    <w:p w14:paraId="76120E92" w14:textId="77777777" w:rsidR="00B85171" w:rsidRPr="007536A1" w:rsidRDefault="00B85171" w:rsidP="00B85171">
      <w:pPr>
        <w:widowControl w:val="0"/>
        <w:rPr>
          <w:rFonts w:ascii="Arial" w:hAnsi="Arial" w:cs="Arial"/>
          <w:sz w:val="22"/>
          <w:szCs w:val="22"/>
        </w:rPr>
      </w:pPr>
      <w:r w:rsidRPr="007536A1">
        <w:rPr>
          <w:rFonts w:ascii="Arial" w:hAnsi="Arial" w:cs="Arial"/>
          <w:sz w:val="22"/>
          <w:szCs w:val="22"/>
        </w:rPr>
        <w:t>En ese sentido, verificada la información e integrados los expedientes y excluidas a aquellas personas que de forma voluntaria declinaron su participación en el Proceso Electoral Extraordinario, se postularon un total de 143 personas.</w:t>
      </w:r>
    </w:p>
    <w:p w14:paraId="0D45E66C" w14:textId="39B12F35" w:rsidR="00012AE7" w:rsidRPr="007536A1" w:rsidRDefault="00B85171" w:rsidP="00B85171">
      <w:pPr>
        <w:pStyle w:val="Ttulo2"/>
        <w:rPr>
          <w:rFonts w:ascii="Arial" w:hAnsi="Arial" w:cs="Arial"/>
          <w:sz w:val="22"/>
          <w:szCs w:val="22"/>
        </w:rPr>
      </w:pPr>
      <w:r w:rsidRPr="007536A1">
        <w:rPr>
          <w:rFonts w:ascii="Arial" w:hAnsi="Arial" w:cs="Arial"/>
          <w:sz w:val="22"/>
          <w:szCs w:val="22"/>
        </w:rPr>
        <w:t>Documentación y material electoral</w:t>
      </w:r>
    </w:p>
    <w:p w14:paraId="3F2FA42C" w14:textId="4E349C9C" w:rsidR="00B85171" w:rsidRPr="007536A1" w:rsidRDefault="00B85171" w:rsidP="00B85171">
      <w:pPr>
        <w:rPr>
          <w:rFonts w:ascii="Arial" w:hAnsi="Arial" w:cs="Arial"/>
          <w:sz w:val="22"/>
          <w:szCs w:val="22"/>
        </w:rPr>
      </w:pPr>
      <w:r w:rsidRPr="007536A1">
        <w:rPr>
          <w:rFonts w:ascii="Arial" w:hAnsi="Arial" w:cs="Arial"/>
          <w:sz w:val="22"/>
          <w:szCs w:val="22"/>
        </w:rPr>
        <w:t>Que, el artículo 402 numeral 1 de la Ley Electoral dispone que, para la emisión del voto, el Consejo Estatal determinará el modelo de las boletas electorales, la documentación del proceso de elección de las personas integrantes del Poder Judicial y los materiales que serán utilizados en ésta, tomando en cuenta las medidas de certeza que estime pertinentes y los lineamientos aprobados por el INE.</w:t>
      </w:r>
    </w:p>
    <w:p w14:paraId="6290D4BF" w14:textId="679AD8AF" w:rsidR="00B85171" w:rsidRPr="007536A1" w:rsidRDefault="00B85171" w:rsidP="00B85171">
      <w:pPr>
        <w:rPr>
          <w:rFonts w:ascii="Arial" w:hAnsi="Arial" w:cs="Arial"/>
          <w:sz w:val="22"/>
          <w:szCs w:val="22"/>
        </w:rPr>
      </w:pPr>
      <w:r w:rsidRPr="007536A1">
        <w:rPr>
          <w:rFonts w:ascii="Arial" w:hAnsi="Arial" w:cs="Arial"/>
          <w:sz w:val="22"/>
          <w:szCs w:val="22"/>
        </w:rPr>
        <w:t>Asimismo, en términos del numeral 3 del artículo en cita, no habrá modificación a las boletas en caso de sustitución de una o más candidaturas si éstas ya estuvieran impresas.</w:t>
      </w:r>
    </w:p>
    <w:p w14:paraId="18E11F86" w14:textId="7BAB7EA1" w:rsidR="00B85171" w:rsidRPr="007536A1" w:rsidRDefault="00B85171" w:rsidP="00B85171">
      <w:pPr>
        <w:pStyle w:val="Ttulo2"/>
        <w:rPr>
          <w:rFonts w:ascii="Arial" w:hAnsi="Arial" w:cs="Arial"/>
          <w:sz w:val="22"/>
          <w:szCs w:val="22"/>
        </w:rPr>
      </w:pPr>
      <w:r w:rsidRPr="007536A1">
        <w:rPr>
          <w:rFonts w:ascii="Arial" w:hAnsi="Arial" w:cs="Arial"/>
          <w:sz w:val="22"/>
          <w:szCs w:val="22"/>
        </w:rPr>
        <w:t>Cancelación de candidatura</w:t>
      </w:r>
      <w:r w:rsidR="000F4788" w:rsidRPr="007536A1">
        <w:rPr>
          <w:rFonts w:ascii="Arial" w:hAnsi="Arial" w:cs="Arial"/>
          <w:sz w:val="22"/>
          <w:szCs w:val="22"/>
        </w:rPr>
        <w:t>s</w:t>
      </w:r>
    </w:p>
    <w:p w14:paraId="3648FF85" w14:textId="5B1A9087" w:rsidR="00406890" w:rsidRPr="007536A1" w:rsidRDefault="00B85171" w:rsidP="00B85171">
      <w:pPr>
        <w:rPr>
          <w:rFonts w:ascii="Arial" w:hAnsi="Arial" w:cs="Arial"/>
          <w:sz w:val="22"/>
          <w:szCs w:val="22"/>
        </w:rPr>
      </w:pPr>
      <w:r w:rsidRPr="007536A1">
        <w:rPr>
          <w:rFonts w:ascii="Arial" w:hAnsi="Arial" w:cs="Arial"/>
          <w:sz w:val="22"/>
          <w:szCs w:val="22"/>
        </w:rPr>
        <w:t xml:space="preserve">Que, </w:t>
      </w:r>
      <w:r w:rsidR="00406890" w:rsidRPr="007536A1">
        <w:rPr>
          <w:rFonts w:ascii="Arial" w:hAnsi="Arial" w:cs="Arial"/>
          <w:sz w:val="22"/>
          <w:szCs w:val="22"/>
        </w:rPr>
        <w:t>a la fecha de emisión del presente acuerdo, las siguientes personas formularon su renuncia a la postulación a los cargos de elección del Poder Judicial del Estado de Tabasco, de conformidad con lo siguiente:</w:t>
      </w:r>
    </w:p>
    <w:tbl>
      <w:tblPr>
        <w:tblStyle w:val="Tablaconcuadrcula"/>
        <w:tblW w:w="0" w:type="auto"/>
        <w:tblLook w:val="04A0" w:firstRow="1" w:lastRow="0" w:firstColumn="1" w:lastColumn="0" w:noHBand="0" w:noVBand="1"/>
      </w:tblPr>
      <w:tblGrid>
        <w:gridCol w:w="3397"/>
        <w:gridCol w:w="2410"/>
        <w:gridCol w:w="1134"/>
        <w:gridCol w:w="1887"/>
      </w:tblGrid>
      <w:tr w:rsidR="00406890" w:rsidRPr="007536A1" w14:paraId="63CEE556" w14:textId="1E1B8385" w:rsidTr="007536A1">
        <w:tc>
          <w:tcPr>
            <w:tcW w:w="3397" w:type="dxa"/>
            <w:shd w:val="clear" w:color="auto" w:fill="993366"/>
          </w:tcPr>
          <w:p w14:paraId="7076AB39" w14:textId="77777777" w:rsidR="00406890" w:rsidRPr="007536A1" w:rsidRDefault="00406890" w:rsidP="00D52D43">
            <w:pPr>
              <w:spacing w:before="120" w:after="120"/>
              <w:jc w:val="center"/>
              <w:rPr>
                <w:rFonts w:ascii="Arial" w:hAnsi="Arial" w:cs="Arial"/>
                <w:b/>
                <w:bCs/>
                <w:color w:val="FFFFFF" w:themeColor="background1"/>
                <w:sz w:val="20"/>
                <w:szCs w:val="20"/>
              </w:rPr>
            </w:pPr>
            <w:r w:rsidRPr="007536A1">
              <w:rPr>
                <w:rFonts w:ascii="Arial" w:hAnsi="Arial" w:cs="Arial"/>
                <w:b/>
                <w:bCs/>
                <w:color w:val="FFFFFF" w:themeColor="background1"/>
                <w:sz w:val="20"/>
                <w:szCs w:val="20"/>
              </w:rPr>
              <w:t>Candidata/candidato</w:t>
            </w:r>
          </w:p>
        </w:tc>
        <w:tc>
          <w:tcPr>
            <w:tcW w:w="2410" w:type="dxa"/>
            <w:shd w:val="clear" w:color="auto" w:fill="993366"/>
          </w:tcPr>
          <w:p w14:paraId="1393A4AB" w14:textId="77777777" w:rsidR="00406890" w:rsidRPr="007536A1" w:rsidRDefault="00406890" w:rsidP="00D52D43">
            <w:pPr>
              <w:spacing w:before="120" w:after="120"/>
              <w:jc w:val="center"/>
              <w:rPr>
                <w:rFonts w:ascii="Arial" w:hAnsi="Arial" w:cs="Arial"/>
                <w:b/>
                <w:bCs/>
                <w:color w:val="FFFFFF" w:themeColor="background1"/>
                <w:sz w:val="20"/>
                <w:szCs w:val="20"/>
              </w:rPr>
            </w:pPr>
            <w:r w:rsidRPr="007536A1">
              <w:rPr>
                <w:rFonts w:ascii="Arial" w:hAnsi="Arial" w:cs="Arial"/>
                <w:b/>
                <w:bCs/>
                <w:color w:val="FFFFFF" w:themeColor="background1"/>
                <w:sz w:val="20"/>
                <w:szCs w:val="20"/>
              </w:rPr>
              <w:t>Cargo postulado</w:t>
            </w:r>
          </w:p>
        </w:tc>
        <w:tc>
          <w:tcPr>
            <w:tcW w:w="1134" w:type="dxa"/>
            <w:shd w:val="clear" w:color="auto" w:fill="993366"/>
          </w:tcPr>
          <w:p w14:paraId="2220EA72" w14:textId="77777777" w:rsidR="00406890" w:rsidRPr="007536A1" w:rsidRDefault="00406890" w:rsidP="00D52D43">
            <w:pPr>
              <w:spacing w:before="120" w:after="120"/>
              <w:jc w:val="center"/>
              <w:rPr>
                <w:rFonts w:ascii="Arial" w:hAnsi="Arial" w:cs="Arial"/>
                <w:b/>
                <w:bCs/>
                <w:color w:val="FFFFFF" w:themeColor="background1"/>
                <w:sz w:val="20"/>
                <w:szCs w:val="20"/>
              </w:rPr>
            </w:pPr>
            <w:r w:rsidRPr="007536A1">
              <w:rPr>
                <w:rFonts w:ascii="Arial" w:hAnsi="Arial" w:cs="Arial"/>
                <w:b/>
                <w:bCs/>
                <w:color w:val="FFFFFF" w:themeColor="background1"/>
                <w:sz w:val="20"/>
                <w:szCs w:val="20"/>
              </w:rPr>
              <w:t>Ámbito</w:t>
            </w:r>
          </w:p>
        </w:tc>
        <w:tc>
          <w:tcPr>
            <w:tcW w:w="1887" w:type="dxa"/>
            <w:shd w:val="clear" w:color="auto" w:fill="993366"/>
          </w:tcPr>
          <w:p w14:paraId="20915185" w14:textId="2B4A858A" w:rsidR="00406890" w:rsidRPr="007536A1" w:rsidRDefault="00406890" w:rsidP="00D52D43">
            <w:pPr>
              <w:spacing w:before="120" w:after="120"/>
              <w:jc w:val="center"/>
              <w:rPr>
                <w:rFonts w:ascii="Arial" w:hAnsi="Arial" w:cs="Arial"/>
                <w:b/>
                <w:bCs/>
                <w:color w:val="FFFFFF" w:themeColor="background1"/>
                <w:sz w:val="20"/>
                <w:szCs w:val="20"/>
              </w:rPr>
            </w:pPr>
            <w:r w:rsidRPr="007536A1">
              <w:rPr>
                <w:rFonts w:ascii="Arial" w:hAnsi="Arial" w:cs="Arial"/>
                <w:b/>
                <w:bCs/>
                <w:color w:val="FFFFFF" w:themeColor="background1"/>
                <w:sz w:val="20"/>
                <w:szCs w:val="20"/>
              </w:rPr>
              <w:t>Fecha de renuncia</w:t>
            </w:r>
          </w:p>
        </w:tc>
      </w:tr>
      <w:tr w:rsidR="00406890" w:rsidRPr="007536A1" w14:paraId="2212A819" w14:textId="01F12ABF" w:rsidTr="007536A1">
        <w:tc>
          <w:tcPr>
            <w:tcW w:w="3397" w:type="dxa"/>
          </w:tcPr>
          <w:p w14:paraId="134110DA" w14:textId="77777777" w:rsidR="00406890" w:rsidRPr="007536A1" w:rsidRDefault="00406890" w:rsidP="00D52D43">
            <w:pPr>
              <w:spacing w:before="120" w:after="120"/>
              <w:rPr>
                <w:rFonts w:ascii="Arial" w:hAnsi="Arial" w:cs="Arial"/>
                <w:b/>
                <w:bCs/>
                <w:spacing w:val="-10"/>
                <w:sz w:val="20"/>
                <w:szCs w:val="20"/>
              </w:rPr>
            </w:pPr>
            <w:r w:rsidRPr="007536A1">
              <w:rPr>
                <w:rFonts w:ascii="Arial" w:hAnsi="Arial" w:cs="Arial"/>
                <w:b/>
                <w:bCs/>
                <w:spacing w:val="-10"/>
                <w:sz w:val="20"/>
                <w:szCs w:val="20"/>
              </w:rPr>
              <w:t>Martha Karina Espinosa Armengol</w:t>
            </w:r>
          </w:p>
        </w:tc>
        <w:tc>
          <w:tcPr>
            <w:tcW w:w="2410" w:type="dxa"/>
          </w:tcPr>
          <w:p w14:paraId="4230314B" w14:textId="684B6762" w:rsidR="00406890" w:rsidRPr="007536A1" w:rsidRDefault="00406890" w:rsidP="00D52D43">
            <w:pPr>
              <w:spacing w:before="120" w:after="120"/>
              <w:rPr>
                <w:rFonts w:ascii="Arial" w:hAnsi="Arial" w:cs="Arial"/>
                <w:b/>
                <w:bCs/>
                <w:spacing w:val="-10"/>
                <w:sz w:val="20"/>
                <w:szCs w:val="20"/>
              </w:rPr>
            </w:pPr>
            <w:r w:rsidRPr="007536A1">
              <w:rPr>
                <w:rFonts w:ascii="Arial" w:hAnsi="Arial" w:cs="Arial"/>
                <w:b/>
                <w:bCs/>
                <w:spacing w:val="-10"/>
                <w:sz w:val="20"/>
                <w:szCs w:val="20"/>
              </w:rPr>
              <w:t xml:space="preserve">Jueza en </w:t>
            </w:r>
            <w:r w:rsidR="00F96231" w:rsidRPr="007536A1">
              <w:rPr>
                <w:rFonts w:ascii="Arial" w:hAnsi="Arial" w:cs="Arial"/>
                <w:b/>
                <w:bCs/>
                <w:spacing w:val="-10"/>
                <w:sz w:val="20"/>
                <w:szCs w:val="20"/>
              </w:rPr>
              <w:t>Materia Laboral</w:t>
            </w:r>
          </w:p>
        </w:tc>
        <w:tc>
          <w:tcPr>
            <w:tcW w:w="1134" w:type="dxa"/>
          </w:tcPr>
          <w:p w14:paraId="4DDFE9A1" w14:textId="77777777" w:rsidR="00406890" w:rsidRPr="007536A1" w:rsidRDefault="00406890" w:rsidP="00D52D43">
            <w:pPr>
              <w:spacing w:before="120" w:after="120"/>
              <w:rPr>
                <w:rFonts w:ascii="Arial" w:hAnsi="Arial" w:cs="Arial"/>
                <w:b/>
                <w:bCs/>
                <w:spacing w:val="-10"/>
                <w:sz w:val="20"/>
                <w:szCs w:val="20"/>
              </w:rPr>
            </w:pPr>
            <w:r w:rsidRPr="007536A1">
              <w:rPr>
                <w:rFonts w:ascii="Arial" w:hAnsi="Arial" w:cs="Arial"/>
                <w:b/>
                <w:bCs/>
                <w:spacing w:val="-10"/>
                <w:sz w:val="20"/>
                <w:szCs w:val="20"/>
              </w:rPr>
              <w:t>Región 01</w:t>
            </w:r>
          </w:p>
        </w:tc>
        <w:tc>
          <w:tcPr>
            <w:tcW w:w="1887" w:type="dxa"/>
          </w:tcPr>
          <w:p w14:paraId="1C01832F" w14:textId="2898A3B2" w:rsidR="00406890" w:rsidRPr="007536A1" w:rsidRDefault="00406890" w:rsidP="00D52D43">
            <w:pPr>
              <w:spacing w:before="120" w:after="120"/>
              <w:rPr>
                <w:rFonts w:ascii="Arial" w:hAnsi="Arial" w:cs="Arial"/>
                <w:b/>
                <w:bCs/>
                <w:spacing w:val="-10"/>
                <w:sz w:val="20"/>
                <w:szCs w:val="20"/>
              </w:rPr>
            </w:pPr>
            <w:r w:rsidRPr="007536A1">
              <w:rPr>
                <w:rFonts w:ascii="Arial" w:hAnsi="Arial" w:cs="Arial"/>
                <w:b/>
                <w:bCs/>
                <w:spacing w:val="-10"/>
                <w:sz w:val="20"/>
                <w:szCs w:val="20"/>
              </w:rPr>
              <w:t>14 de mayo de 2025</w:t>
            </w:r>
          </w:p>
        </w:tc>
      </w:tr>
      <w:tr w:rsidR="00406890" w:rsidRPr="007536A1" w14:paraId="6BA59C72" w14:textId="0112527C" w:rsidTr="007536A1">
        <w:tc>
          <w:tcPr>
            <w:tcW w:w="3397" w:type="dxa"/>
          </w:tcPr>
          <w:p w14:paraId="40C77C0E" w14:textId="77777777" w:rsidR="00406890" w:rsidRPr="007536A1" w:rsidRDefault="00406890" w:rsidP="00D52D43">
            <w:pPr>
              <w:spacing w:before="120" w:after="120"/>
              <w:rPr>
                <w:rFonts w:ascii="Arial" w:hAnsi="Arial" w:cs="Arial"/>
                <w:b/>
                <w:bCs/>
                <w:spacing w:val="-10"/>
                <w:sz w:val="20"/>
                <w:szCs w:val="20"/>
              </w:rPr>
            </w:pPr>
            <w:r w:rsidRPr="007536A1">
              <w:rPr>
                <w:rFonts w:ascii="Arial" w:hAnsi="Arial" w:cs="Arial"/>
                <w:b/>
                <w:bCs/>
                <w:spacing w:val="-10"/>
                <w:sz w:val="20"/>
                <w:szCs w:val="20"/>
              </w:rPr>
              <w:t>Gilberto Melquiades Miranda Díaz</w:t>
            </w:r>
          </w:p>
        </w:tc>
        <w:tc>
          <w:tcPr>
            <w:tcW w:w="2410" w:type="dxa"/>
          </w:tcPr>
          <w:p w14:paraId="3FEF0F09" w14:textId="77777777" w:rsidR="00406890" w:rsidRPr="007536A1" w:rsidRDefault="00406890" w:rsidP="00D52D43">
            <w:pPr>
              <w:spacing w:before="120" w:after="120"/>
              <w:rPr>
                <w:rFonts w:ascii="Arial" w:hAnsi="Arial" w:cs="Arial"/>
                <w:b/>
                <w:bCs/>
                <w:spacing w:val="-10"/>
                <w:sz w:val="20"/>
                <w:szCs w:val="20"/>
              </w:rPr>
            </w:pPr>
            <w:r w:rsidRPr="007536A1">
              <w:rPr>
                <w:rFonts w:ascii="Arial" w:hAnsi="Arial" w:cs="Arial"/>
                <w:b/>
                <w:bCs/>
                <w:spacing w:val="-10"/>
                <w:sz w:val="20"/>
                <w:szCs w:val="20"/>
              </w:rPr>
              <w:t>Magistrado Penal</w:t>
            </w:r>
          </w:p>
        </w:tc>
        <w:tc>
          <w:tcPr>
            <w:tcW w:w="1134" w:type="dxa"/>
          </w:tcPr>
          <w:p w14:paraId="51209FF7" w14:textId="77777777" w:rsidR="00406890" w:rsidRPr="007536A1" w:rsidRDefault="00406890" w:rsidP="00D52D43">
            <w:pPr>
              <w:spacing w:before="120" w:after="120"/>
              <w:rPr>
                <w:rFonts w:ascii="Arial" w:hAnsi="Arial" w:cs="Arial"/>
                <w:b/>
                <w:bCs/>
                <w:spacing w:val="-10"/>
                <w:sz w:val="20"/>
                <w:szCs w:val="20"/>
              </w:rPr>
            </w:pPr>
            <w:r w:rsidRPr="007536A1">
              <w:rPr>
                <w:rFonts w:ascii="Arial" w:hAnsi="Arial" w:cs="Arial"/>
                <w:b/>
                <w:bCs/>
                <w:spacing w:val="-10"/>
                <w:sz w:val="20"/>
                <w:szCs w:val="20"/>
              </w:rPr>
              <w:t>Estatal</w:t>
            </w:r>
          </w:p>
        </w:tc>
        <w:tc>
          <w:tcPr>
            <w:tcW w:w="1887" w:type="dxa"/>
          </w:tcPr>
          <w:p w14:paraId="36F31033" w14:textId="6016A305" w:rsidR="00406890" w:rsidRPr="007536A1" w:rsidRDefault="00406890" w:rsidP="00D52D43">
            <w:pPr>
              <w:spacing w:before="120" w:after="120"/>
              <w:rPr>
                <w:rFonts w:ascii="Arial" w:hAnsi="Arial" w:cs="Arial"/>
                <w:b/>
                <w:bCs/>
                <w:spacing w:val="-10"/>
                <w:sz w:val="20"/>
                <w:szCs w:val="20"/>
              </w:rPr>
            </w:pPr>
            <w:r w:rsidRPr="007536A1">
              <w:rPr>
                <w:rFonts w:ascii="Arial" w:hAnsi="Arial" w:cs="Arial"/>
                <w:b/>
                <w:bCs/>
                <w:spacing w:val="-10"/>
                <w:sz w:val="20"/>
                <w:szCs w:val="20"/>
              </w:rPr>
              <w:t>20 de mayo de 2025</w:t>
            </w:r>
          </w:p>
        </w:tc>
      </w:tr>
    </w:tbl>
    <w:p w14:paraId="03200B8E" w14:textId="7ABB000B" w:rsidR="00406890" w:rsidRPr="007536A1" w:rsidRDefault="00406890" w:rsidP="00406890">
      <w:pPr>
        <w:rPr>
          <w:rFonts w:ascii="Arial" w:hAnsi="Arial" w:cs="Arial"/>
          <w:b/>
          <w:bCs/>
          <w:sz w:val="22"/>
          <w:szCs w:val="22"/>
        </w:rPr>
      </w:pPr>
      <w:r w:rsidRPr="007536A1">
        <w:rPr>
          <w:rFonts w:ascii="Arial" w:hAnsi="Arial" w:cs="Arial"/>
          <w:sz w:val="22"/>
          <w:szCs w:val="22"/>
        </w:rPr>
        <w:t xml:space="preserve">Las renuncias mencionadas fueron ratificadas </w:t>
      </w:r>
      <w:r w:rsidR="0041696A" w:rsidRPr="007536A1">
        <w:rPr>
          <w:rFonts w:ascii="Arial" w:hAnsi="Arial" w:cs="Arial"/>
          <w:sz w:val="22"/>
          <w:szCs w:val="22"/>
        </w:rPr>
        <w:t>ante la Oficialía Electoral de este Instituto</w:t>
      </w:r>
      <w:r w:rsidRPr="007536A1">
        <w:rPr>
          <w:rFonts w:ascii="Arial" w:hAnsi="Arial" w:cs="Arial"/>
          <w:sz w:val="22"/>
          <w:szCs w:val="22"/>
        </w:rPr>
        <w:t xml:space="preserve">, de conformidad con la jurisprudencia 39/2015 aprobada por la Sala Superior del Tribunal Electoral del Poder Judicial de la Federación con rubro: </w:t>
      </w:r>
      <w:r w:rsidRPr="007536A1">
        <w:rPr>
          <w:rFonts w:ascii="Arial" w:hAnsi="Arial" w:cs="Arial"/>
          <w:b/>
          <w:bCs/>
          <w:sz w:val="22"/>
          <w:szCs w:val="22"/>
        </w:rPr>
        <w:t>“RENUNCIA. LAS AUTORIDADES Y ÓRGANOS PARTIDISTAS DEBEN CONFIRMAR SU AUTENTICIDAD”</w:t>
      </w:r>
      <w:r w:rsidR="0041696A" w:rsidRPr="007536A1">
        <w:rPr>
          <w:rFonts w:ascii="Arial" w:hAnsi="Arial" w:cs="Arial"/>
          <w:b/>
          <w:bCs/>
          <w:sz w:val="22"/>
          <w:szCs w:val="22"/>
        </w:rPr>
        <w:t>.</w:t>
      </w:r>
      <w:r w:rsidR="0042139B" w:rsidRPr="007536A1">
        <w:rPr>
          <w:rFonts w:ascii="Arial" w:hAnsi="Arial" w:cs="Arial"/>
          <w:b/>
          <w:bCs/>
          <w:sz w:val="22"/>
          <w:szCs w:val="22"/>
        </w:rPr>
        <w:t xml:space="preserve"> </w:t>
      </w:r>
    </w:p>
    <w:p w14:paraId="090A49CA" w14:textId="748C9276" w:rsidR="0042139B" w:rsidRPr="007536A1" w:rsidRDefault="00FB79AC" w:rsidP="00406890">
      <w:pPr>
        <w:rPr>
          <w:rFonts w:ascii="Arial" w:hAnsi="Arial" w:cs="Arial"/>
          <w:sz w:val="22"/>
          <w:szCs w:val="22"/>
        </w:rPr>
      </w:pPr>
      <w:r w:rsidRPr="007536A1">
        <w:rPr>
          <w:rFonts w:ascii="Arial" w:hAnsi="Arial" w:cs="Arial"/>
          <w:sz w:val="22"/>
          <w:szCs w:val="22"/>
        </w:rPr>
        <w:lastRenderedPageBreak/>
        <w:t xml:space="preserve">En ese sentido, </w:t>
      </w:r>
      <w:r w:rsidR="00816741" w:rsidRPr="007536A1">
        <w:rPr>
          <w:rFonts w:ascii="Arial" w:hAnsi="Arial" w:cs="Arial"/>
          <w:sz w:val="22"/>
          <w:szCs w:val="22"/>
        </w:rPr>
        <w:t xml:space="preserve">de acuerdo </w:t>
      </w:r>
      <w:r w:rsidR="00406890" w:rsidRPr="007536A1">
        <w:rPr>
          <w:rFonts w:ascii="Arial" w:hAnsi="Arial" w:cs="Arial"/>
          <w:sz w:val="22"/>
          <w:szCs w:val="22"/>
        </w:rPr>
        <w:t xml:space="preserve">con el artículo 35 fracción II de la Constitución Federa, </w:t>
      </w:r>
      <w:r w:rsidRPr="007536A1">
        <w:rPr>
          <w:rFonts w:ascii="Arial" w:hAnsi="Arial" w:cs="Arial"/>
          <w:sz w:val="22"/>
          <w:szCs w:val="22"/>
        </w:rPr>
        <w:t>e</w:t>
      </w:r>
      <w:r w:rsidR="0042139B" w:rsidRPr="007536A1">
        <w:rPr>
          <w:rFonts w:ascii="Arial" w:hAnsi="Arial" w:cs="Arial"/>
          <w:sz w:val="22"/>
          <w:szCs w:val="22"/>
        </w:rPr>
        <w:t xml:space="preserve">s derecho de las y los ciudadanos postularse a </w:t>
      </w:r>
      <w:r w:rsidR="00406890" w:rsidRPr="007536A1">
        <w:rPr>
          <w:rFonts w:ascii="Arial" w:hAnsi="Arial" w:cs="Arial"/>
          <w:sz w:val="22"/>
          <w:szCs w:val="22"/>
        </w:rPr>
        <w:t xml:space="preserve">cualquier </w:t>
      </w:r>
      <w:r w:rsidR="0042139B" w:rsidRPr="007536A1">
        <w:rPr>
          <w:rFonts w:ascii="Arial" w:hAnsi="Arial" w:cs="Arial"/>
          <w:sz w:val="22"/>
          <w:szCs w:val="22"/>
        </w:rPr>
        <w:t xml:space="preserve">cargo de elección </w:t>
      </w:r>
      <w:r w:rsidR="00406890" w:rsidRPr="007536A1">
        <w:rPr>
          <w:rFonts w:ascii="Arial" w:hAnsi="Arial" w:cs="Arial"/>
          <w:sz w:val="22"/>
          <w:szCs w:val="22"/>
        </w:rPr>
        <w:t>popular; de cuya interpretación se deduce, el derecho a</w:t>
      </w:r>
      <w:r w:rsidR="0042139B" w:rsidRPr="007536A1">
        <w:rPr>
          <w:rFonts w:ascii="Arial" w:hAnsi="Arial" w:cs="Arial"/>
          <w:sz w:val="22"/>
          <w:szCs w:val="22"/>
        </w:rPr>
        <w:t xml:space="preserve"> renunciar </w:t>
      </w:r>
      <w:r w:rsidR="00406890" w:rsidRPr="007536A1">
        <w:rPr>
          <w:rFonts w:ascii="Arial" w:hAnsi="Arial" w:cs="Arial"/>
          <w:sz w:val="22"/>
          <w:szCs w:val="22"/>
        </w:rPr>
        <w:t>a una candidatura</w:t>
      </w:r>
      <w:r w:rsidR="0042139B" w:rsidRPr="007536A1">
        <w:rPr>
          <w:rFonts w:ascii="Arial" w:hAnsi="Arial" w:cs="Arial"/>
          <w:sz w:val="22"/>
          <w:szCs w:val="22"/>
        </w:rPr>
        <w:t xml:space="preserve">. </w:t>
      </w:r>
    </w:p>
    <w:p w14:paraId="3E4CF4B6" w14:textId="474DAE35" w:rsidR="00813614" w:rsidRPr="007536A1" w:rsidRDefault="0021783C" w:rsidP="0021783C">
      <w:pPr>
        <w:rPr>
          <w:rFonts w:ascii="Arial" w:hAnsi="Arial" w:cs="Arial"/>
          <w:sz w:val="22"/>
          <w:szCs w:val="22"/>
        </w:rPr>
      </w:pPr>
      <w:r w:rsidRPr="007536A1">
        <w:rPr>
          <w:rFonts w:ascii="Arial" w:hAnsi="Arial" w:cs="Arial"/>
          <w:sz w:val="22"/>
          <w:szCs w:val="22"/>
        </w:rPr>
        <w:t xml:space="preserve">Ahora bien, </w:t>
      </w:r>
      <w:r w:rsidR="0042139B" w:rsidRPr="007536A1">
        <w:rPr>
          <w:rFonts w:ascii="Arial" w:hAnsi="Arial" w:cs="Arial"/>
          <w:sz w:val="22"/>
          <w:szCs w:val="22"/>
        </w:rPr>
        <w:t>tratándose de la cancelación de una candidatura, ésta implica la nulidad de los votos emitidos a su favor, pues se trata de sufragios inválidos que se sumarán a los votos nulos, porque se emiten a favor de una candidatura que al día de la jornada electoral no cuenta con el registro legal correspondiente</w:t>
      </w:r>
      <w:r w:rsidR="00813614" w:rsidRPr="007536A1">
        <w:rPr>
          <w:rFonts w:ascii="Arial" w:hAnsi="Arial" w:cs="Arial"/>
          <w:sz w:val="22"/>
          <w:szCs w:val="22"/>
        </w:rPr>
        <w:t xml:space="preserve">. Lo anterior se robustece con el criterio emitido por la Sala Superior del Tribunal Electoral del Poder Judicial de la Federación en la tesis XIX/2017 de rubro: </w:t>
      </w:r>
      <w:r w:rsidR="00813614" w:rsidRPr="007536A1">
        <w:rPr>
          <w:rFonts w:ascii="Arial" w:hAnsi="Arial" w:cs="Arial"/>
          <w:b/>
          <w:bCs/>
          <w:sz w:val="22"/>
          <w:szCs w:val="22"/>
        </w:rPr>
        <w:t>“VOTOS INVÁLIDOS. SON AQUELLOS EMITIDOS A FAVOR DE UNA CANDIDATURA CUYO REGISTRO FUE CANCELADO (LEGISLACIÓN DE TLAXCALA Y SIMILARES)”</w:t>
      </w:r>
      <w:r w:rsidR="00813614" w:rsidRPr="007536A1">
        <w:rPr>
          <w:rFonts w:ascii="Arial" w:hAnsi="Arial" w:cs="Arial"/>
          <w:sz w:val="22"/>
          <w:szCs w:val="22"/>
        </w:rPr>
        <w:t xml:space="preserve"> obtenido a partir de la interpretación sistemática y funcional de los artículos 35, fracción II y 41 de la Constitución Federal.</w:t>
      </w:r>
    </w:p>
    <w:p w14:paraId="5C3DC02F" w14:textId="686341B7" w:rsidR="0042139B" w:rsidRPr="007536A1" w:rsidRDefault="00813614" w:rsidP="0042139B">
      <w:pPr>
        <w:rPr>
          <w:rFonts w:ascii="Arial" w:hAnsi="Arial" w:cs="Arial"/>
          <w:sz w:val="22"/>
          <w:szCs w:val="22"/>
        </w:rPr>
      </w:pPr>
      <w:r w:rsidRPr="007536A1">
        <w:rPr>
          <w:rFonts w:ascii="Arial" w:hAnsi="Arial" w:cs="Arial"/>
          <w:sz w:val="22"/>
          <w:szCs w:val="22"/>
        </w:rPr>
        <w:t>Por otra parte, c</w:t>
      </w:r>
      <w:r w:rsidR="0042139B" w:rsidRPr="007536A1">
        <w:rPr>
          <w:rFonts w:ascii="Arial" w:hAnsi="Arial" w:cs="Arial"/>
          <w:sz w:val="22"/>
          <w:szCs w:val="22"/>
        </w:rPr>
        <w:t>onforme al artículo 391 numeral 1 de la Ley Electoral, en caso de fallecimiento, incapacidad, inhabilitación o declinación de alguna de las personas postuladas, el Comité de evaluación postulante podrá solicitar al Congreso su sustitución antes del inicio de la impresión de las boletas electorales, observando el procedimiento de insaculación pública sobre el listado de las personas finalistas que no fueron seleccionadas para la candidatura del cargo que se trate; no obstante, en el caso particular, conforme al calendario correspondiente, el inicio de la producción de las boletas electorales aconteció el 7 de mayo y su entrega se realizó el 14 de mayo del año en curso</w:t>
      </w:r>
      <w:r w:rsidRPr="007536A1">
        <w:rPr>
          <w:rFonts w:ascii="Arial" w:hAnsi="Arial" w:cs="Arial"/>
          <w:sz w:val="22"/>
          <w:szCs w:val="22"/>
        </w:rPr>
        <w:t>; de ahí la imposibilidad de sustituir a la</w:t>
      </w:r>
      <w:r w:rsidR="00251CDE" w:rsidRPr="007536A1">
        <w:rPr>
          <w:rFonts w:ascii="Arial" w:hAnsi="Arial" w:cs="Arial"/>
          <w:sz w:val="22"/>
          <w:szCs w:val="22"/>
        </w:rPr>
        <w:t>s</w:t>
      </w:r>
      <w:r w:rsidRPr="007536A1">
        <w:rPr>
          <w:rFonts w:ascii="Arial" w:hAnsi="Arial" w:cs="Arial"/>
          <w:sz w:val="22"/>
          <w:szCs w:val="22"/>
        </w:rPr>
        <w:t xml:space="preserve"> persona</w:t>
      </w:r>
      <w:r w:rsidR="00251CDE" w:rsidRPr="007536A1">
        <w:rPr>
          <w:rFonts w:ascii="Arial" w:hAnsi="Arial" w:cs="Arial"/>
          <w:sz w:val="22"/>
          <w:szCs w:val="22"/>
        </w:rPr>
        <w:t>s</w:t>
      </w:r>
      <w:r w:rsidRPr="007536A1">
        <w:rPr>
          <w:rFonts w:ascii="Arial" w:hAnsi="Arial" w:cs="Arial"/>
          <w:sz w:val="22"/>
          <w:szCs w:val="22"/>
        </w:rPr>
        <w:t xml:space="preserve"> candidata</w:t>
      </w:r>
      <w:r w:rsidR="00251CDE" w:rsidRPr="007536A1">
        <w:rPr>
          <w:rFonts w:ascii="Arial" w:hAnsi="Arial" w:cs="Arial"/>
          <w:sz w:val="22"/>
          <w:szCs w:val="22"/>
        </w:rPr>
        <w:t>s</w:t>
      </w:r>
      <w:r w:rsidRPr="007536A1">
        <w:rPr>
          <w:rFonts w:ascii="Arial" w:hAnsi="Arial" w:cs="Arial"/>
          <w:sz w:val="22"/>
          <w:szCs w:val="22"/>
        </w:rPr>
        <w:t xml:space="preserve"> que declin</w:t>
      </w:r>
      <w:r w:rsidR="00251CDE" w:rsidRPr="007536A1">
        <w:rPr>
          <w:rFonts w:ascii="Arial" w:hAnsi="Arial" w:cs="Arial"/>
          <w:sz w:val="22"/>
          <w:szCs w:val="22"/>
        </w:rPr>
        <w:t>aron</w:t>
      </w:r>
      <w:r w:rsidRPr="007536A1">
        <w:rPr>
          <w:rFonts w:ascii="Arial" w:hAnsi="Arial" w:cs="Arial"/>
          <w:sz w:val="22"/>
          <w:szCs w:val="22"/>
        </w:rPr>
        <w:t xml:space="preserve"> o renunci</w:t>
      </w:r>
      <w:r w:rsidR="00251CDE" w:rsidRPr="007536A1">
        <w:rPr>
          <w:rFonts w:ascii="Arial" w:hAnsi="Arial" w:cs="Arial"/>
          <w:sz w:val="22"/>
          <w:szCs w:val="22"/>
        </w:rPr>
        <w:t>aron</w:t>
      </w:r>
      <w:r w:rsidRPr="007536A1">
        <w:rPr>
          <w:rFonts w:ascii="Arial" w:hAnsi="Arial" w:cs="Arial"/>
          <w:sz w:val="22"/>
          <w:szCs w:val="22"/>
        </w:rPr>
        <w:t xml:space="preserve"> a la</w:t>
      </w:r>
      <w:r w:rsidR="00251CDE" w:rsidRPr="007536A1">
        <w:rPr>
          <w:rFonts w:ascii="Arial" w:hAnsi="Arial" w:cs="Arial"/>
          <w:sz w:val="22"/>
          <w:szCs w:val="22"/>
        </w:rPr>
        <w:t>s</w:t>
      </w:r>
      <w:r w:rsidRPr="007536A1">
        <w:rPr>
          <w:rFonts w:ascii="Arial" w:hAnsi="Arial" w:cs="Arial"/>
          <w:sz w:val="22"/>
          <w:szCs w:val="22"/>
        </w:rPr>
        <w:t xml:space="preserve"> candidatura</w:t>
      </w:r>
      <w:r w:rsidR="00251CDE" w:rsidRPr="007536A1">
        <w:rPr>
          <w:rFonts w:ascii="Arial" w:hAnsi="Arial" w:cs="Arial"/>
          <w:sz w:val="22"/>
          <w:szCs w:val="22"/>
        </w:rPr>
        <w:t>s</w:t>
      </w:r>
      <w:r w:rsidRPr="007536A1">
        <w:rPr>
          <w:rFonts w:ascii="Arial" w:hAnsi="Arial" w:cs="Arial"/>
          <w:sz w:val="22"/>
          <w:szCs w:val="22"/>
        </w:rPr>
        <w:t>.</w:t>
      </w:r>
    </w:p>
    <w:p w14:paraId="23CC5182" w14:textId="7C1D11E6" w:rsidR="0042139B" w:rsidRPr="007536A1" w:rsidRDefault="0042139B" w:rsidP="00B85171">
      <w:pPr>
        <w:rPr>
          <w:rFonts w:ascii="Arial" w:hAnsi="Arial" w:cs="Arial"/>
          <w:sz w:val="22"/>
          <w:szCs w:val="22"/>
        </w:rPr>
      </w:pPr>
      <w:r w:rsidRPr="007536A1">
        <w:rPr>
          <w:rFonts w:ascii="Arial" w:hAnsi="Arial" w:cs="Arial"/>
          <w:sz w:val="22"/>
          <w:szCs w:val="22"/>
        </w:rPr>
        <w:t>Aunado a lo anterior, de acuerdo con el artículo 402 numeral 3 de la Ley Electoral, no habrá modificación a las boletas en caso de sustitución de una o más candidaturas si éstas ya estuvieran impresas.</w:t>
      </w:r>
    </w:p>
    <w:p w14:paraId="1DD91F28" w14:textId="435EB171" w:rsidR="0042139B" w:rsidRPr="007536A1" w:rsidRDefault="0042139B" w:rsidP="00B85171">
      <w:pPr>
        <w:rPr>
          <w:rFonts w:ascii="Arial" w:hAnsi="Arial" w:cs="Arial"/>
          <w:sz w:val="22"/>
          <w:szCs w:val="22"/>
        </w:rPr>
      </w:pPr>
      <w:r w:rsidRPr="007536A1">
        <w:rPr>
          <w:rFonts w:ascii="Arial" w:hAnsi="Arial" w:cs="Arial"/>
          <w:sz w:val="22"/>
          <w:szCs w:val="22"/>
        </w:rPr>
        <w:t>A partir de las disposiciones señaladas se desprende que, el período de sustitución de las candidaturas para los cargos de elección al poder judicial será hasta antes del inicio de la impresión de las boletas electorales y una vez impresas, no habrá modificación alguna a dichos documentos.</w:t>
      </w:r>
    </w:p>
    <w:p w14:paraId="5E2F7454" w14:textId="32B63BBA" w:rsidR="00813614" w:rsidRPr="007536A1" w:rsidRDefault="00813614" w:rsidP="00813614">
      <w:pPr>
        <w:rPr>
          <w:rFonts w:ascii="Arial" w:hAnsi="Arial" w:cs="Arial"/>
          <w:sz w:val="22"/>
          <w:szCs w:val="22"/>
        </w:rPr>
      </w:pPr>
      <w:r w:rsidRPr="007536A1">
        <w:rPr>
          <w:rFonts w:ascii="Arial" w:hAnsi="Arial" w:cs="Arial"/>
          <w:sz w:val="22"/>
          <w:szCs w:val="22"/>
        </w:rPr>
        <w:t>En ese contexto, y en virtud de la</w:t>
      </w:r>
      <w:r w:rsidR="00D04484" w:rsidRPr="007536A1">
        <w:rPr>
          <w:rFonts w:ascii="Arial" w:hAnsi="Arial" w:cs="Arial"/>
          <w:sz w:val="22"/>
          <w:szCs w:val="22"/>
        </w:rPr>
        <w:t>s</w:t>
      </w:r>
      <w:r w:rsidRPr="007536A1">
        <w:rPr>
          <w:rFonts w:ascii="Arial" w:hAnsi="Arial" w:cs="Arial"/>
          <w:sz w:val="22"/>
          <w:szCs w:val="22"/>
        </w:rPr>
        <w:t xml:space="preserve"> renuncia</w:t>
      </w:r>
      <w:r w:rsidR="00D04484" w:rsidRPr="007536A1">
        <w:rPr>
          <w:rFonts w:ascii="Arial" w:hAnsi="Arial" w:cs="Arial"/>
          <w:sz w:val="22"/>
          <w:szCs w:val="22"/>
        </w:rPr>
        <w:t>s</w:t>
      </w:r>
      <w:r w:rsidRPr="007536A1">
        <w:rPr>
          <w:rFonts w:ascii="Arial" w:hAnsi="Arial" w:cs="Arial"/>
          <w:sz w:val="22"/>
          <w:szCs w:val="22"/>
        </w:rPr>
        <w:t xml:space="preserve"> </w:t>
      </w:r>
      <w:r w:rsidR="00D04484" w:rsidRPr="007536A1">
        <w:rPr>
          <w:rFonts w:ascii="Arial" w:hAnsi="Arial" w:cs="Arial"/>
          <w:sz w:val="22"/>
          <w:szCs w:val="22"/>
        </w:rPr>
        <w:t>presentadas por las personas interesadas</w:t>
      </w:r>
      <w:r w:rsidRPr="007536A1">
        <w:rPr>
          <w:rFonts w:ascii="Arial" w:hAnsi="Arial" w:cs="Arial"/>
          <w:sz w:val="22"/>
          <w:szCs w:val="22"/>
        </w:rPr>
        <w:t xml:space="preserve">, se aprueba la cancelación de </w:t>
      </w:r>
      <w:r w:rsidR="00D04484" w:rsidRPr="007536A1">
        <w:rPr>
          <w:rFonts w:ascii="Arial" w:hAnsi="Arial" w:cs="Arial"/>
          <w:sz w:val="22"/>
          <w:szCs w:val="22"/>
        </w:rPr>
        <w:t xml:space="preserve">sus </w:t>
      </w:r>
      <w:r w:rsidRPr="007536A1">
        <w:rPr>
          <w:rFonts w:ascii="Arial" w:hAnsi="Arial" w:cs="Arial"/>
          <w:sz w:val="22"/>
          <w:szCs w:val="22"/>
        </w:rPr>
        <w:t>candidatura</w:t>
      </w:r>
      <w:r w:rsidR="0021783C" w:rsidRPr="007536A1">
        <w:rPr>
          <w:rFonts w:ascii="Arial" w:hAnsi="Arial" w:cs="Arial"/>
          <w:sz w:val="22"/>
          <w:szCs w:val="22"/>
        </w:rPr>
        <w:t>s</w:t>
      </w:r>
      <w:r w:rsidRPr="007536A1">
        <w:rPr>
          <w:rFonts w:ascii="Arial" w:hAnsi="Arial" w:cs="Arial"/>
          <w:sz w:val="22"/>
          <w:szCs w:val="22"/>
        </w:rPr>
        <w:t>, por lo que, considerando que</w:t>
      </w:r>
      <w:r w:rsidR="0021783C" w:rsidRPr="007536A1">
        <w:rPr>
          <w:rFonts w:ascii="Arial" w:hAnsi="Arial" w:cs="Arial"/>
          <w:sz w:val="22"/>
          <w:szCs w:val="22"/>
        </w:rPr>
        <w:t>,</w:t>
      </w:r>
      <w:r w:rsidRPr="007536A1">
        <w:rPr>
          <w:rFonts w:ascii="Arial" w:hAnsi="Arial" w:cs="Arial"/>
          <w:sz w:val="22"/>
          <w:szCs w:val="22"/>
        </w:rPr>
        <w:t xml:space="preserve"> a la fecha de emisión del presente acuerdo, las boletas electorales obran en poder de los órganos desconcentrados, de conformidad con los artículos 268 numeral 2, inciso e) de la Ley General y 218 numerales 1 y 2 de la Ley Electoral, la votación que en su caso obtenga</w:t>
      </w:r>
      <w:r w:rsidR="0021783C" w:rsidRPr="007536A1">
        <w:rPr>
          <w:rFonts w:ascii="Arial" w:hAnsi="Arial" w:cs="Arial"/>
          <w:sz w:val="22"/>
          <w:szCs w:val="22"/>
        </w:rPr>
        <w:t>n</w:t>
      </w:r>
      <w:r w:rsidRPr="007536A1">
        <w:rPr>
          <w:rFonts w:ascii="Arial" w:hAnsi="Arial" w:cs="Arial"/>
          <w:sz w:val="22"/>
          <w:szCs w:val="22"/>
        </w:rPr>
        <w:t xml:space="preserve"> dicha</w:t>
      </w:r>
      <w:r w:rsidR="0021783C" w:rsidRPr="007536A1">
        <w:rPr>
          <w:rFonts w:ascii="Arial" w:hAnsi="Arial" w:cs="Arial"/>
          <w:sz w:val="22"/>
          <w:szCs w:val="22"/>
        </w:rPr>
        <w:t>s</w:t>
      </w:r>
      <w:r w:rsidRPr="007536A1">
        <w:rPr>
          <w:rFonts w:ascii="Arial" w:hAnsi="Arial" w:cs="Arial"/>
          <w:sz w:val="22"/>
          <w:szCs w:val="22"/>
        </w:rPr>
        <w:t xml:space="preserve"> persona</w:t>
      </w:r>
      <w:r w:rsidR="0021783C" w:rsidRPr="007536A1">
        <w:rPr>
          <w:rFonts w:ascii="Arial" w:hAnsi="Arial" w:cs="Arial"/>
          <w:sz w:val="22"/>
          <w:szCs w:val="22"/>
        </w:rPr>
        <w:t>s</w:t>
      </w:r>
      <w:r w:rsidRPr="007536A1">
        <w:rPr>
          <w:rFonts w:ascii="Arial" w:hAnsi="Arial" w:cs="Arial"/>
          <w:sz w:val="22"/>
          <w:szCs w:val="22"/>
        </w:rPr>
        <w:t>, no tendrá valor alguno y se sumará a los votos nulos</w:t>
      </w:r>
      <w:r w:rsidR="0021783C" w:rsidRPr="007536A1">
        <w:rPr>
          <w:rFonts w:ascii="Arial" w:hAnsi="Arial" w:cs="Arial"/>
          <w:sz w:val="22"/>
          <w:szCs w:val="22"/>
        </w:rPr>
        <w:t xml:space="preserve"> de acuerdo al ámbito electoral que corresponda.</w:t>
      </w:r>
    </w:p>
    <w:p w14:paraId="520E77F2" w14:textId="6D71F89F" w:rsidR="00813614" w:rsidRPr="007536A1" w:rsidRDefault="00813614" w:rsidP="00813614">
      <w:pPr>
        <w:rPr>
          <w:rFonts w:ascii="Arial" w:hAnsi="Arial" w:cs="Arial"/>
          <w:sz w:val="22"/>
          <w:szCs w:val="22"/>
        </w:rPr>
      </w:pPr>
      <w:r w:rsidRPr="007536A1">
        <w:rPr>
          <w:rFonts w:ascii="Arial" w:hAnsi="Arial" w:cs="Arial"/>
          <w:sz w:val="22"/>
          <w:szCs w:val="22"/>
        </w:rPr>
        <w:lastRenderedPageBreak/>
        <w:t>Como consecuencia de lo anterior, se deberá actualizar la información de</w:t>
      </w:r>
      <w:r w:rsidR="00544AA3" w:rsidRPr="007536A1">
        <w:rPr>
          <w:rFonts w:ascii="Arial" w:hAnsi="Arial" w:cs="Arial"/>
          <w:sz w:val="22"/>
          <w:szCs w:val="22"/>
        </w:rPr>
        <w:t xml:space="preserve"> </w:t>
      </w:r>
      <w:r w:rsidRPr="007536A1">
        <w:rPr>
          <w:rFonts w:ascii="Arial" w:hAnsi="Arial" w:cs="Arial"/>
          <w:sz w:val="22"/>
          <w:szCs w:val="22"/>
        </w:rPr>
        <w:t>l</w:t>
      </w:r>
      <w:r w:rsidR="00544AA3" w:rsidRPr="007536A1">
        <w:rPr>
          <w:rFonts w:ascii="Arial" w:hAnsi="Arial" w:cs="Arial"/>
          <w:sz w:val="22"/>
          <w:szCs w:val="22"/>
        </w:rPr>
        <w:t>os</w:t>
      </w:r>
      <w:r w:rsidRPr="007536A1">
        <w:rPr>
          <w:rFonts w:ascii="Arial" w:hAnsi="Arial" w:cs="Arial"/>
          <w:sz w:val="22"/>
          <w:szCs w:val="22"/>
        </w:rPr>
        <w:t xml:space="preserve"> sistema</w:t>
      </w:r>
      <w:r w:rsidR="00544AA3" w:rsidRPr="007536A1">
        <w:rPr>
          <w:rFonts w:ascii="Arial" w:hAnsi="Arial" w:cs="Arial"/>
          <w:sz w:val="22"/>
          <w:szCs w:val="22"/>
        </w:rPr>
        <w:t>s</w:t>
      </w:r>
      <w:r w:rsidRPr="007536A1">
        <w:rPr>
          <w:rFonts w:ascii="Arial" w:hAnsi="Arial" w:cs="Arial"/>
          <w:sz w:val="22"/>
          <w:szCs w:val="22"/>
        </w:rPr>
        <w:t xml:space="preserve"> del Instituto, respecto a las personas a las que se les cancela la candidatura, con el propósito de no generar confusión y la ciudadanía tenga certeza de las candidaturas que estarán vigentes el día de la jornada electoral.</w:t>
      </w:r>
    </w:p>
    <w:p w14:paraId="0B0AFE7C" w14:textId="77AE23A4" w:rsidR="00CC0C41" w:rsidRPr="007536A1" w:rsidRDefault="00CC0C41" w:rsidP="00813614">
      <w:pPr>
        <w:rPr>
          <w:rFonts w:ascii="Arial" w:hAnsi="Arial" w:cs="Arial"/>
          <w:sz w:val="22"/>
          <w:szCs w:val="22"/>
        </w:rPr>
      </w:pPr>
      <w:r w:rsidRPr="007536A1">
        <w:rPr>
          <w:rFonts w:ascii="Arial" w:hAnsi="Arial" w:cs="Arial"/>
          <w:sz w:val="22"/>
          <w:szCs w:val="22"/>
        </w:rPr>
        <w:t xml:space="preserve">Finalmente, debido a la proximidad de la contienda electoral y con el objetivo de agilizar las acciones que debe adoptar este Instituto con motivo de las renuncias que en lo subsecuente se presenten, este Consejo Estatal faculta al Secretario Ejecutivo para que, una vez ratificadas éstas, </w:t>
      </w:r>
      <w:r w:rsidR="004F1C01" w:rsidRPr="007536A1">
        <w:rPr>
          <w:rFonts w:ascii="Arial" w:hAnsi="Arial" w:cs="Arial"/>
          <w:sz w:val="22"/>
          <w:szCs w:val="22"/>
        </w:rPr>
        <w:t xml:space="preserve">ejecuta </w:t>
      </w:r>
      <w:r w:rsidRPr="007536A1">
        <w:rPr>
          <w:rFonts w:ascii="Arial" w:hAnsi="Arial" w:cs="Arial"/>
          <w:sz w:val="22"/>
          <w:szCs w:val="22"/>
        </w:rPr>
        <w:t>las acciones derivadas de la cancelación de las candidaturas.</w:t>
      </w:r>
    </w:p>
    <w:p w14:paraId="28231960" w14:textId="77777777" w:rsidR="00CA7A88" w:rsidRPr="007536A1" w:rsidRDefault="00CA7A88" w:rsidP="00CA7A88">
      <w:pPr>
        <w:rPr>
          <w:rFonts w:ascii="Arial" w:hAnsi="Arial" w:cs="Arial"/>
          <w:sz w:val="22"/>
          <w:szCs w:val="22"/>
        </w:rPr>
      </w:pPr>
      <w:r w:rsidRPr="007536A1">
        <w:rPr>
          <w:rFonts w:ascii="Arial" w:hAnsi="Arial" w:cs="Arial"/>
          <w:sz w:val="22"/>
          <w:szCs w:val="22"/>
        </w:rPr>
        <w:t>Sobre la base de las consideraciones señaladas, este Consejo Estatal emite el siguiente:</w:t>
      </w:r>
    </w:p>
    <w:p w14:paraId="65914247" w14:textId="77777777" w:rsidR="00CA7A88" w:rsidRPr="007536A1" w:rsidRDefault="00CA7A88" w:rsidP="00CA7A88">
      <w:pPr>
        <w:pStyle w:val="Ttulo1"/>
        <w:rPr>
          <w:rFonts w:ascii="Arial" w:hAnsi="Arial" w:cs="Arial"/>
          <w:sz w:val="24"/>
          <w:szCs w:val="24"/>
        </w:rPr>
      </w:pPr>
      <w:r w:rsidRPr="007536A1">
        <w:rPr>
          <w:rFonts w:ascii="Arial" w:hAnsi="Arial" w:cs="Arial"/>
          <w:sz w:val="24"/>
          <w:szCs w:val="24"/>
        </w:rPr>
        <w:t>Acuerdo</w:t>
      </w:r>
    </w:p>
    <w:p w14:paraId="3DEB2ED2" w14:textId="659E3AD1" w:rsidR="00A3587B" w:rsidRPr="007536A1" w:rsidRDefault="00CA7A88" w:rsidP="00A3587B">
      <w:pPr>
        <w:rPr>
          <w:rFonts w:ascii="Arial" w:hAnsi="Arial" w:cs="Arial"/>
          <w:sz w:val="22"/>
          <w:szCs w:val="22"/>
        </w:rPr>
      </w:pPr>
      <w:r w:rsidRPr="007536A1">
        <w:rPr>
          <w:rFonts w:ascii="Arial" w:hAnsi="Arial" w:cs="Arial"/>
          <w:b/>
          <w:bCs/>
          <w:sz w:val="22"/>
          <w:szCs w:val="22"/>
        </w:rPr>
        <w:t>Primero.</w:t>
      </w:r>
      <w:r w:rsidRPr="007536A1">
        <w:rPr>
          <w:rFonts w:ascii="Arial" w:hAnsi="Arial" w:cs="Arial"/>
          <w:sz w:val="22"/>
          <w:szCs w:val="22"/>
        </w:rPr>
        <w:t xml:space="preserve"> En virtud de la</w:t>
      </w:r>
      <w:r w:rsidR="00A3587B" w:rsidRPr="007536A1">
        <w:rPr>
          <w:rFonts w:ascii="Arial" w:hAnsi="Arial" w:cs="Arial"/>
          <w:sz w:val="22"/>
          <w:szCs w:val="22"/>
        </w:rPr>
        <w:t>s</w:t>
      </w:r>
      <w:r w:rsidRPr="007536A1">
        <w:rPr>
          <w:rFonts w:ascii="Arial" w:hAnsi="Arial" w:cs="Arial"/>
          <w:sz w:val="22"/>
          <w:szCs w:val="22"/>
        </w:rPr>
        <w:t xml:space="preserve"> renuncia</w:t>
      </w:r>
      <w:r w:rsidR="00A3587B" w:rsidRPr="007536A1">
        <w:rPr>
          <w:rFonts w:ascii="Arial" w:hAnsi="Arial" w:cs="Arial"/>
          <w:sz w:val="22"/>
          <w:szCs w:val="22"/>
        </w:rPr>
        <w:t>s</w:t>
      </w:r>
      <w:r w:rsidRPr="007536A1">
        <w:rPr>
          <w:rFonts w:ascii="Arial" w:hAnsi="Arial" w:cs="Arial"/>
          <w:sz w:val="22"/>
          <w:szCs w:val="22"/>
        </w:rPr>
        <w:t xml:space="preserve"> presentada</w:t>
      </w:r>
      <w:r w:rsidR="00A3587B" w:rsidRPr="007536A1">
        <w:rPr>
          <w:rFonts w:ascii="Arial" w:hAnsi="Arial" w:cs="Arial"/>
          <w:sz w:val="22"/>
          <w:szCs w:val="22"/>
        </w:rPr>
        <w:t>s</w:t>
      </w:r>
      <w:r w:rsidRPr="007536A1">
        <w:rPr>
          <w:rFonts w:ascii="Arial" w:hAnsi="Arial" w:cs="Arial"/>
          <w:sz w:val="22"/>
          <w:szCs w:val="22"/>
        </w:rPr>
        <w:t xml:space="preserve">, </w:t>
      </w:r>
      <w:r w:rsidR="00A3587B" w:rsidRPr="007536A1">
        <w:rPr>
          <w:rFonts w:ascii="Arial" w:hAnsi="Arial" w:cs="Arial"/>
          <w:sz w:val="22"/>
          <w:szCs w:val="22"/>
        </w:rPr>
        <w:t>se aprueba la cancelación de las candidaturas a los cargos de elección del Poder Judicial del Estado para el Proceso Electoral Local Extraordinario 202</w:t>
      </w:r>
      <w:r w:rsidR="00EB4497" w:rsidRPr="007536A1">
        <w:rPr>
          <w:rFonts w:ascii="Arial" w:hAnsi="Arial" w:cs="Arial"/>
          <w:sz w:val="22"/>
          <w:szCs w:val="22"/>
        </w:rPr>
        <w:t>4</w:t>
      </w:r>
      <w:r w:rsidR="00A3587B" w:rsidRPr="007536A1">
        <w:rPr>
          <w:rFonts w:ascii="Arial" w:hAnsi="Arial" w:cs="Arial"/>
          <w:sz w:val="22"/>
          <w:szCs w:val="22"/>
        </w:rPr>
        <w:t xml:space="preserve"> – 2025 de conformidad con lo siguiente:</w:t>
      </w:r>
    </w:p>
    <w:tbl>
      <w:tblPr>
        <w:tblStyle w:val="Tablaconcuadrcula"/>
        <w:tblW w:w="0" w:type="auto"/>
        <w:tblLook w:val="04A0" w:firstRow="1" w:lastRow="0" w:firstColumn="1" w:lastColumn="0" w:noHBand="0" w:noVBand="1"/>
      </w:tblPr>
      <w:tblGrid>
        <w:gridCol w:w="4106"/>
        <w:gridCol w:w="3119"/>
        <w:gridCol w:w="1603"/>
      </w:tblGrid>
      <w:tr w:rsidR="00A3587B" w:rsidRPr="007536A1" w14:paraId="2555A14A" w14:textId="5637FE93" w:rsidTr="00A3587B">
        <w:tc>
          <w:tcPr>
            <w:tcW w:w="4106" w:type="dxa"/>
            <w:shd w:val="clear" w:color="auto" w:fill="993366"/>
          </w:tcPr>
          <w:p w14:paraId="758A86BD" w14:textId="5068F770" w:rsidR="00A3587B" w:rsidRPr="007536A1" w:rsidRDefault="00A3587B" w:rsidP="00A3587B">
            <w:pPr>
              <w:spacing w:before="120" w:after="120"/>
              <w:jc w:val="center"/>
              <w:rPr>
                <w:rFonts w:ascii="Arial" w:hAnsi="Arial" w:cs="Arial"/>
                <w:b/>
                <w:bCs/>
                <w:color w:val="FFFFFF" w:themeColor="background1"/>
                <w:sz w:val="20"/>
                <w:szCs w:val="20"/>
              </w:rPr>
            </w:pPr>
            <w:r w:rsidRPr="007536A1">
              <w:rPr>
                <w:rFonts w:ascii="Arial" w:hAnsi="Arial" w:cs="Arial"/>
                <w:b/>
                <w:bCs/>
                <w:color w:val="FFFFFF" w:themeColor="background1"/>
                <w:sz w:val="20"/>
                <w:szCs w:val="20"/>
              </w:rPr>
              <w:t>Candidata/candidato</w:t>
            </w:r>
          </w:p>
        </w:tc>
        <w:tc>
          <w:tcPr>
            <w:tcW w:w="3119" w:type="dxa"/>
            <w:shd w:val="clear" w:color="auto" w:fill="993366"/>
          </w:tcPr>
          <w:p w14:paraId="5E600967" w14:textId="02A6E3FD" w:rsidR="00A3587B" w:rsidRPr="007536A1" w:rsidRDefault="00A3587B" w:rsidP="00A3587B">
            <w:pPr>
              <w:spacing w:before="120" w:after="120"/>
              <w:jc w:val="center"/>
              <w:rPr>
                <w:rFonts w:ascii="Arial" w:hAnsi="Arial" w:cs="Arial"/>
                <w:b/>
                <w:bCs/>
                <w:color w:val="FFFFFF" w:themeColor="background1"/>
                <w:sz w:val="20"/>
                <w:szCs w:val="20"/>
              </w:rPr>
            </w:pPr>
            <w:r w:rsidRPr="007536A1">
              <w:rPr>
                <w:rFonts w:ascii="Arial" w:hAnsi="Arial" w:cs="Arial"/>
                <w:b/>
                <w:bCs/>
                <w:color w:val="FFFFFF" w:themeColor="background1"/>
                <w:sz w:val="20"/>
                <w:szCs w:val="20"/>
              </w:rPr>
              <w:t>Cargo postulado</w:t>
            </w:r>
          </w:p>
        </w:tc>
        <w:tc>
          <w:tcPr>
            <w:tcW w:w="1603" w:type="dxa"/>
            <w:shd w:val="clear" w:color="auto" w:fill="993366"/>
          </w:tcPr>
          <w:p w14:paraId="3D2E3A20" w14:textId="7EBE3F26" w:rsidR="00A3587B" w:rsidRPr="007536A1" w:rsidRDefault="00A3587B" w:rsidP="00A3587B">
            <w:pPr>
              <w:spacing w:before="120" w:after="120"/>
              <w:jc w:val="center"/>
              <w:rPr>
                <w:rFonts w:ascii="Arial" w:hAnsi="Arial" w:cs="Arial"/>
                <w:b/>
                <w:bCs/>
                <w:color w:val="FFFFFF" w:themeColor="background1"/>
                <w:sz w:val="20"/>
                <w:szCs w:val="20"/>
              </w:rPr>
            </w:pPr>
            <w:r w:rsidRPr="007536A1">
              <w:rPr>
                <w:rFonts w:ascii="Arial" w:hAnsi="Arial" w:cs="Arial"/>
                <w:b/>
                <w:bCs/>
                <w:color w:val="FFFFFF" w:themeColor="background1"/>
                <w:sz w:val="20"/>
                <w:szCs w:val="20"/>
              </w:rPr>
              <w:t>Ámbito</w:t>
            </w:r>
          </w:p>
        </w:tc>
      </w:tr>
      <w:tr w:rsidR="00A3587B" w:rsidRPr="007536A1" w14:paraId="5D739C70" w14:textId="3178A69B" w:rsidTr="00A3587B">
        <w:tc>
          <w:tcPr>
            <w:tcW w:w="4106" w:type="dxa"/>
          </w:tcPr>
          <w:p w14:paraId="5E08F966" w14:textId="6A295524" w:rsidR="00A3587B" w:rsidRPr="007536A1" w:rsidRDefault="00A3587B" w:rsidP="00A3587B">
            <w:pPr>
              <w:spacing w:before="120" w:after="120"/>
              <w:rPr>
                <w:rFonts w:ascii="Arial" w:hAnsi="Arial" w:cs="Arial"/>
                <w:b/>
                <w:bCs/>
                <w:sz w:val="20"/>
                <w:szCs w:val="20"/>
              </w:rPr>
            </w:pPr>
            <w:r w:rsidRPr="007536A1">
              <w:rPr>
                <w:rFonts w:ascii="Arial" w:hAnsi="Arial" w:cs="Arial"/>
                <w:b/>
                <w:bCs/>
                <w:sz w:val="20"/>
                <w:szCs w:val="20"/>
              </w:rPr>
              <w:t>Martha Karina Espinosa Armengol</w:t>
            </w:r>
          </w:p>
        </w:tc>
        <w:tc>
          <w:tcPr>
            <w:tcW w:w="3119" w:type="dxa"/>
          </w:tcPr>
          <w:p w14:paraId="195498B8" w14:textId="75C9BE19" w:rsidR="00A3587B" w:rsidRPr="007536A1" w:rsidRDefault="00A3587B" w:rsidP="00A3587B">
            <w:pPr>
              <w:spacing w:before="120" w:after="120"/>
              <w:rPr>
                <w:rFonts w:ascii="Arial" w:hAnsi="Arial" w:cs="Arial"/>
                <w:b/>
                <w:bCs/>
                <w:sz w:val="20"/>
                <w:szCs w:val="20"/>
              </w:rPr>
            </w:pPr>
            <w:r w:rsidRPr="007536A1">
              <w:rPr>
                <w:rFonts w:ascii="Arial" w:hAnsi="Arial" w:cs="Arial"/>
                <w:b/>
                <w:bCs/>
                <w:sz w:val="20"/>
                <w:szCs w:val="20"/>
              </w:rPr>
              <w:t xml:space="preserve">Jueza en </w:t>
            </w:r>
            <w:r w:rsidR="002B7163" w:rsidRPr="007536A1">
              <w:rPr>
                <w:rFonts w:ascii="Arial" w:hAnsi="Arial" w:cs="Arial"/>
                <w:b/>
                <w:bCs/>
                <w:sz w:val="20"/>
                <w:szCs w:val="20"/>
              </w:rPr>
              <w:t>Materia Laboral</w:t>
            </w:r>
          </w:p>
        </w:tc>
        <w:tc>
          <w:tcPr>
            <w:tcW w:w="1603" w:type="dxa"/>
          </w:tcPr>
          <w:p w14:paraId="7C9C5EFF" w14:textId="221C53F9" w:rsidR="00A3587B" w:rsidRPr="007536A1" w:rsidRDefault="00A3587B" w:rsidP="00A3587B">
            <w:pPr>
              <w:spacing w:before="120" w:after="120"/>
              <w:rPr>
                <w:rFonts w:ascii="Arial" w:hAnsi="Arial" w:cs="Arial"/>
                <w:b/>
                <w:bCs/>
                <w:sz w:val="20"/>
                <w:szCs w:val="20"/>
              </w:rPr>
            </w:pPr>
            <w:r w:rsidRPr="007536A1">
              <w:rPr>
                <w:rFonts w:ascii="Arial" w:hAnsi="Arial" w:cs="Arial"/>
                <w:b/>
                <w:bCs/>
                <w:sz w:val="20"/>
                <w:szCs w:val="20"/>
              </w:rPr>
              <w:t>Región 01</w:t>
            </w:r>
          </w:p>
        </w:tc>
      </w:tr>
      <w:tr w:rsidR="00A3587B" w:rsidRPr="007536A1" w14:paraId="5942BF03" w14:textId="77777777" w:rsidTr="00A3587B">
        <w:tc>
          <w:tcPr>
            <w:tcW w:w="4106" w:type="dxa"/>
          </w:tcPr>
          <w:p w14:paraId="572E8676" w14:textId="1A340275" w:rsidR="00A3587B" w:rsidRPr="007536A1" w:rsidRDefault="00A3587B" w:rsidP="00A3587B">
            <w:pPr>
              <w:spacing w:before="120" w:after="120"/>
              <w:rPr>
                <w:rFonts w:ascii="Arial" w:hAnsi="Arial" w:cs="Arial"/>
                <w:b/>
                <w:bCs/>
                <w:sz w:val="20"/>
                <w:szCs w:val="20"/>
              </w:rPr>
            </w:pPr>
            <w:r w:rsidRPr="007536A1">
              <w:rPr>
                <w:rFonts w:ascii="Arial" w:hAnsi="Arial" w:cs="Arial"/>
                <w:b/>
                <w:bCs/>
                <w:sz w:val="20"/>
                <w:szCs w:val="20"/>
              </w:rPr>
              <w:t>Gilberto Melquiades Miranda Díaz</w:t>
            </w:r>
          </w:p>
        </w:tc>
        <w:tc>
          <w:tcPr>
            <w:tcW w:w="3119" w:type="dxa"/>
          </w:tcPr>
          <w:p w14:paraId="2EE94A90" w14:textId="55A61AC6" w:rsidR="00A3587B" w:rsidRPr="007536A1" w:rsidRDefault="00A3587B" w:rsidP="00A3587B">
            <w:pPr>
              <w:spacing w:before="120" w:after="120"/>
              <w:rPr>
                <w:rFonts w:ascii="Arial" w:hAnsi="Arial" w:cs="Arial"/>
                <w:b/>
                <w:bCs/>
                <w:sz w:val="20"/>
                <w:szCs w:val="20"/>
              </w:rPr>
            </w:pPr>
            <w:r w:rsidRPr="007536A1">
              <w:rPr>
                <w:rFonts w:ascii="Arial" w:hAnsi="Arial" w:cs="Arial"/>
                <w:b/>
                <w:bCs/>
                <w:sz w:val="20"/>
                <w:szCs w:val="20"/>
              </w:rPr>
              <w:t>Magistrado Penal</w:t>
            </w:r>
          </w:p>
        </w:tc>
        <w:tc>
          <w:tcPr>
            <w:tcW w:w="1603" w:type="dxa"/>
          </w:tcPr>
          <w:p w14:paraId="46DE4D28" w14:textId="1A09D2D4" w:rsidR="00A3587B" w:rsidRPr="007536A1" w:rsidRDefault="00A3587B" w:rsidP="00A3587B">
            <w:pPr>
              <w:spacing w:before="120" w:after="120"/>
              <w:rPr>
                <w:rFonts w:ascii="Arial" w:hAnsi="Arial" w:cs="Arial"/>
                <w:b/>
                <w:bCs/>
                <w:sz w:val="20"/>
                <w:szCs w:val="20"/>
              </w:rPr>
            </w:pPr>
            <w:r w:rsidRPr="007536A1">
              <w:rPr>
                <w:rFonts w:ascii="Arial" w:hAnsi="Arial" w:cs="Arial"/>
                <w:b/>
                <w:bCs/>
                <w:sz w:val="20"/>
                <w:szCs w:val="20"/>
              </w:rPr>
              <w:t>Estatal</w:t>
            </w:r>
          </w:p>
        </w:tc>
      </w:tr>
    </w:tbl>
    <w:p w14:paraId="373FE0C0" w14:textId="62853BDF" w:rsidR="00080134" w:rsidRPr="007536A1" w:rsidRDefault="00CA7A88" w:rsidP="00080134">
      <w:pPr>
        <w:rPr>
          <w:rFonts w:ascii="Arial" w:hAnsi="Arial" w:cs="Arial"/>
          <w:sz w:val="22"/>
          <w:szCs w:val="22"/>
        </w:rPr>
      </w:pPr>
      <w:r w:rsidRPr="007536A1">
        <w:rPr>
          <w:rFonts w:ascii="Arial" w:hAnsi="Arial" w:cs="Arial"/>
          <w:b/>
          <w:bCs/>
          <w:sz w:val="22"/>
          <w:szCs w:val="22"/>
        </w:rPr>
        <w:t>Segundo.</w:t>
      </w:r>
      <w:r w:rsidRPr="007536A1">
        <w:rPr>
          <w:rFonts w:ascii="Arial" w:hAnsi="Arial" w:cs="Arial"/>
          <w:sz w:val="22"/>
          <w:szCs w:val="22"/>
        </w:rPr>
        <w:t xml:space="preserve"> Considerando que han sido impresas y entregadas las boletas electorales que se utilizarán en la próxima Jornada Electoral del 1 de junio de 2025</w:t>
      </w:r>
      <w:bookmarkStart w:id="0" w:name="_GoBack"/>
      <w:bookmarkEnd w:id="0"/>
      <w:r w:rsidRPr="007536A1">
        <w:rPr>
          <w:rFonts w:ascii="Arial" w:hAnsi="Arial" w:cs="Arial"/>
          <w:sz w:val="22"/>
          <w:szCs w:val="22"/>
        </w:rPr>
        <w:t>, la votación que, en su caso, obtenga</w:t>
      </w:r>
      <w:r w:rsidR="00A3587B" w:rsidRPr="007536A1">
        <w:rPr>
          <w:rFonts w:ascii="Arial" w:hAnsi="Arial" w:cs="Arial"/>
          <w:sz w:val="22"/>
          <w:szCs w:val="22"/>
        </w:rPr>
        <w:t>n</w:t>
      </w:r>
      <w:r w:rsidRPr="007536A1">
        <w:rPr>
          <w:rFonts w:ascii="Arial" w:hAnsi="Arial" w:cs="Arial"/>
          <w:sz w:val="22"/>
          <w:szCs w:val="22"/>
        </w:rPr>
        <w:t xml:space="preserve"> la</w:t>
      </w:r>
      <w:r w:rsidR="00A3587B" w:rsidRPr="007536A1">
        <w:rPr>
          <w:rFonts w:ascii="Arial" w:hAnsi="Arial" w:cs="Arial"/>
          <w:sz w:val="22"/>
          <w:szCs w:val="22"/>
        </w:rPr>
        <w:t>s</w:t>
      </w:r>
      <w:r w:rsidRPr="007536A1">
        <w:rPr>
          <w:rFonts w:ascii="Arial" w:hAnsi="Arial" w:cs="Arial"/>
          <w:sz w:val="22"/>
          <w:szCs w:val="22"/>
        </w:rPr>
        <w:t xml:space="preserve"> candidatura</w:t>
      </w:r>
      <w:r w:rsidR="00A3587B" w:rsidRPr="007536A1">
        <w:rPr>
          <w:rFonts w:ascii="Arial" w:hAnsi="Arial" w:cs="Arial"/>
          <w:sz w:val="22"/>
          <w:szCs w:val="22"/>
        </w:rPr>
        <w:t>s</w:t>
      </w:r>
      <w:r w:rsidRPr="007536A1">
        <w:rPr>
          <w:rFonts w:ascii="Arial" w:hAnsi="Arial" w:cs="Arial"/>
          <w:sz w:val="22"/>
          <w:szCs w:val="22"/>
        </w:rPr>
        <w:t xml:space="preserve"> cancelada</w:t>
      </w:r>
      <w:r w:rsidR="00A3587B" w:rsidRPr="007536A1">
        <w:rPr>
          <w:rFonts w:ascii="Arial" w:hAnsi="Arial" w:cs="Arial"/>
          <w:sz w:val="22"/>
          <w:szCs w:val="22"/>
        </w:rPr>
        <w:t>s</w:t>
      </w:r>
      <w:r w:rsidR="00080134" w:rsidRPr="007536A1">
        <w:rPr>
          <w:rFonts w:ascii="Arial" w:hAnsi="Arial" w:cs="Arial"/>
          <w:sz w:val="22"/>
          <w:szCs w:val="22"/>
        </w:rPr>
        <w:t xml:space="preserve"> no tendrá</w:t>
      </w:r>
      <w:r w:rsidR="00A3587B" w:rsidRPr="007536A1">
        <w:rPr>
          <w:rFonts w:ascii="Arial" w:hAnsi="Arial" w:cs="Arial"/>
          <w:sz w:val="22"/>
          <w:szCs w:val="22"/>
        </w:rPr>
        <w:t>n</w:t>
      </w:r>
      <w:r w:rsidR="00080134" w:rsidRPr="007536A1">
        <w:rPr>
          <w:rFonts w:ascii="Arial" w:hAnsi="Arial" w:cs="Arial"/>
          <w:sz w:val="22"/>
          <w:szCs w:val="22"/>
        </w:rPr>
        <w:t xml:space="preserve"> valor alguno y se sumará a los votos nulos</w:t>
      </w:r>
      <w:r w:rsidR="00A3587B" w:rsidRPr="007536A1">
        <w:rPr>
          <w:rFonts w:ascii="Arial" w:hAnsi="Arial" w:cs="Arial"/>
          <w:sz w:val="22"/>
          <w:szCs w:val="22"/>
        </w:rPr>
        <w:t xml:space="preserve"> de acuerdo con el ámbito al que pertenezcan.</w:t>
      </w:r>
    </w:p>
    <w:p w14:paraId="353D2D50" w14:textId="4E3DA702" w:rsidR="004F1C01" w:rsidRPr="007536A1" w:rsidRDefault="00080134" w:rsidP="004F1C01">
      <w:pPr>
        <w:rPr>
          <w:rFonts w:ascii="Arial" w:hAnsi="Arial" w:cs="Arial"/>
          <w:sz w:val="22"/>
          <w:szCs w:val="22"/>
        </w:rPr>
      </w:pPr>
      <w:r w:rsidRPr="007536A1">
        <w:rPr>
          <w:rFonts w:ascii="Arial" w:hAnsi="Arial" w:cs="Arial"/>
          <w:b/>
          <w:bCs/>
          <w:sz w:val="22"/>
          <w:szCs w:val="22"/>
        </w:rPr>
        <w:t>Tercero.</w:t>
      </w:r>
      <w:r w:rsidRPr="007536A1">
        <w:rPr>
          <w:rFonts w:ascii="Arial" w:hAnsi="Arial" w:cs="Arial"/>
          <w:sz w:val="22"/>
          <w:szCs w:val="22"/>
        </w:rPr>
        <w:t xml:space="preserve"> </w:t>
      </w:r>
      <w:r w:rsidR="004F1C01" w:rsidRPr="007536A1">
        <w:rPr>
          <w:rFonts w:ascii="Arial" w:hAnsi="Arial" w:cs="Arial"/>
          <w:sz w:val="22"/>
          <w:szCs w:val="22"/>
        </w:rPr>
        <w:t>Se instruye a la Secretaría Ejecutiva que, para el caso de las renuncias que en lo subsecuente se presenten, una vez ratificadas éstas, ejecute las acciones derivadas de la cancelación de las candidaturas</w:t>
      </w:r>
      <w:r w:rsidR="00C82014" w:rsidRPr="007536A1">
        <w:rPr>
          <w:rFonts w:ascii="Arial" w:hAnsi="Arial" w:cs="Arial"/>
          <w:sz w:val="22"/>
          <w:szCs w:val="22"/>
        </w:rPr>
        <w:t xml:space="preserve"> establecidas en el presente acuerdo.</w:t>
      </w:r>
    </w:p>
    <w:p w14:paraId="6C3BD4BF" w14:textId="48CB2AFE" w:rsidR="003B6533" w:rsidRPr="007536A1" w:rsidRDefault="004F1C01" w:rsidP="003B6533">
      <w:pPr>
        <w:rPr>
          <w:rFonts w:ascii="Arial" w:hAnsi="Arial" w:cs="Arial"/>
          <w:sz w:val="22"/>
          <w:szCs w:val="22"/>
        </w:rPr>
      </w:pPr>
      <w:r w:rsidRPr="007536A1">
        <w:rPr>
          <w:rFonts w:ascii="Arial" w:hAnsi="Arial" w:cs="Arial"/>
          <w:b/>
          <w:bCs/>
          <w:sz w:val="22"/>
          <w:szCs w:val="22"/>
        </w:rPr>
        <w:t>Cuarto.</w:t>
      </w:r>
      <w:r w:rsidRPr="007536A1">
        <w:rPr>
          <w:rFonts w:ascii="Arial" w:hAnsi="Arial" w:cs="Arial"/>
          <w:sz w:val="22"/>
          <w:szCs w:val="22"/>
        </w:rPr>
        <w:t xml:space="preserve"> </w:t>
      </w:r>
      <w:r w:rsidR="003B6533" w:rsidRPr="007536A1">
        <w:rPr>
          <w:rFonts w:ascii="Arial" w:hAnsi="Arial" w:cs="Arial"/>
          <w:sz w:val="22"/>
          <w:szCs w:val="22"/>
        </w:rPr>
        <w:t>Se instruye a la Secretaría Ejecutiva notifique el contenido del presente acuerdo, al H. Congreso del Estado, a las juntas electorales distritales del Instituto; y, en términos del artículo 387 numeral 9 de la Ley Electoral, a las personas candidatas a los cargos de elección del Poder Judicial del Estado de Tabasco.</w:t>
      </w:r>
    </w:p>
    <w:p w14:paraId="0F107661" w14:textId="4556D3DB" w:rsidR="00CA7A88" w:rsidRPr="007536A1" w:rsidRDefault="00C82014" w:rsidP="00CA7A88">
      <w:pPr>
        <w:rPr>
          <w:rFonts w:ascii="Arial" w:hAnsi="Arial" w:cs="Arial"/>
          <w:sz w:val="22"/>
          <w:szCs w:val="22"/>
        </w:rPr>
      </w:pPr>
      <w:r w:rsidRPr="007536A1">
        <w:rPr>
          <w:rFonts w:ascii="Arial" w:hAnsi="Arial" w:cs="Arial"/>
          <w:b/>
          <w:bCs/>
          <w:sz w:val="22"/>
          <w:szCs w:val="22"/>
        </w:rPr>
        <w:t>Quinto</w:t>
      </w:r>
      <w:r w:rsidR="003B6533" w:rsidRPr="007536A1">
        <w:rPr>
          <w:rFonts w:ascii="Arial" w:hAnsi="Arial" w:cs="Arial"/>
          <w:b/>
          <w:bCs/>
          <w:sz w:val="22"/>
          <w:szCs w:val="22"/>
        </w:rPr>
        <w:t xml:space="preserve">. </w:t>
      </w:r>
      <w:r w:rsidR="00080134" w:rsidRPr="007536A1">
        <w:rPr>
          <w:rFonts w:ascii="Arial" w:hAnsi="Arial" w:cs="Arial"/>
          <w:sz w:val="22"/>
          <w:szCs w:val="22"/>
        </w:rPr>
        <w:t xml:space="preserve">Se instruye al titular de la Unidad de Tecnologías de la Información y Comunicación actualice la información </w:t>
      </w:r>
      <w:r w:rsidR="003B6533" w:rsidRPr="007536A1">
        <w:rPr>
          <w:rFonts w:ascii="Arial" w:hAnsi="Arial" w:cs="Arial"/>
          <w:sz w:val="22"/>
          <w:szCs w:val="22"/>
        </w:rPr>
        <w:t xml:space="preserve">de los </w:t>
      </w:r>
      <w:r w:rsidR="00080134" w:rsidRPr="007536A1">
        <w:rPr>
          <w:rFonts w:ascii="Arial" w:hAnsi="Arial" w:cs="Arial"/>
          <w:sz w:val="22"/>
          <w:szCs w:val="22"/>
        </w:rPr>
        <w:t>sistema</w:t>
      </w:r>
      <w:r w:rsidR="003B6533" w:rsidRPr="007536A1">
        <w:rPr>
          <w:rFonts w:ascii="Arial" w:hAnsi="Arial" w:cs="Arial"/>
          <w:sz w:val="22"/>
          <w:szCs w:val="22"/>
        </w:rPr>
        <w:t>s</w:t>
      </w:r>
      <w:r w:rsidR="00080134" w:rsidRPr="007536A1">
        <w:rPr>
          <w:rFonts w:ascii="Arial" w:hAnsi="Arial" w:cs="Arial"/>
          <w:sz w:val="22"/>
          <w:szCs w:val="22"/>
        </w:rPr>
        <w:t xml:space="preserve"> del Instituto, respecto a las personas a las que se </w:t>
      </w:r>
      <w:r w:rsidR="00080134" w:rsidRPr="007536A1">
        <w:rPr>
          <w:rFonts w:ascii="Arial" w:hAnsi="Arial" w:cs="Arial"/>
          <w:sz w:val="22"/>
          <w:szCs w:val="22"/>
        </w:rPr>
        <w:lastRenderedPageBreak/>
        <w:t>les cancela la candidatura, con el propósito de no generar confusión y la ciudadanía tenga certeza de las candidaturas que estarán vigentes el día de la jornada electoral.</w:t>
      </w:r>
    </w:p>
    <w:p w14:paraId="525FC6B0" w14:textId="1FC56ED4" w:rsidR="00295A5F" w:rsidRPr="007536A1" w:rsidRDefault="007536A1" w:rsidP="00295A5F">
      <w:pPr>
        <w:rPr>
          <w:rFonts w:ascii="Arial" w:hAnsi="Arial" w:cs="Arial"/>
          <w:sz w:val="22"/>
          <w:szCs w:val="22"/>
        </w:rPr>
      </w:pPr>
      <w:r>
        <w:rPr>
          <w:rFonts w:ascii="Arial" w:hAnsi="Arial" w:cs="Arial"/>
          <w:b/>
          <w:bCs/>
          <w:sz w:val="22"/>
          <w:szCs w:val="22"/>
        </w:rPr>
        <w:t>Sexto</w:t>
      </w:r>
      <w:r w:rsidRPr="007536A1">
        <w:rPr>
          <w:rFonts w:ascii="Arial" w:hAnsi="Arial" w:cs="Arial"/>
          <w:b/>
          <w:bCs/>
          <w:sz w:val="22"/>
          <w:szCs w:val="22"/>
        </w:rPr>
        <w:t>.</w:t>
      </w:r>
      <w:r>
        <w:rPr>
          <w:rFonts w:ascii="Arial" w:hAnsi="Arial" w:cs="Arial"/>
          <w:b/>
          <w:bCs/>
          <w:sz w:val="22"/>
          <w:szCs w:val="22"/>
        </w:rPr>
        <w:t xml:space="preserve"> </w:t>
      </w:r>
      <w:r w:rsidR="00295A5F" w:rsidRPr="007536A1">
        <w:rPr>
          <w:rFonts w:ascii="Arial" w:hAnsi="Arial" w:cs="Arial"/>
          <w:sz w:val="22"/>
          <w:szCs w:val="22"/>
        </w:rPr>
        <w:t>Asimismo, deberá publicar en el portal de internet del Instituto, el listado de candidaturas registradas, incorporando una sección específica que señale aquellas que hayan sido canceladas, para conocimiento de la ciudadanía y actores electorales.</w:t>
      </w:r>
    </w:p>
    <w:p w14:paraId="763FFE9D" w14:textId="073D4051" w:rsidR="003B6533" w:rsidRPr="007536A1" w:rsidRDefault="007536A1" w:rsidP="003B6533">
      <w:pPr>
        <w:rPr>
          <w:rFonts w:ascii="Arial" w:hAnsi="Arial" w:cs="Arial"/>
          <w:sz w:val="22"/>
          <w:szCs w:val="22"/>
        </w:rPr>
      </w:pPr>
      <w:r w:rsidRPr="007536A1">
        <w:rPr>
          <w:rFonts w:ascii="Arial" w:hAnsi="Arial" w:cs="Arial"/>
          <w:b/>
          <w:sz w:val="22"/>
          <w:szCs w:val="22"/>
        </w:rPr>
        <w:t>Séptimo.</w:t>
      </w:r>
      <w:r>
        <w:rPr>
          <w:rFonts w:ascii="Arial" w:hAnsi="Arial" w:cs="Arial"/>
          <w:sz w:val="22"/>
          <w:szCs w:val="22"/>
        </w:rPr>
        <w:t xml:space="preserve"> </w:t>
      </w:r>
      <w:r w:rsidR="003B6533" w:rsidRPr="007536A1">
        <w:rPr>
          <w:rFonts w:ascii="Arial" w:hAnsi="Arial" w:cs="Arial"/>
          <w:sz w:val="22"/>
          <w:szCs w:val="22"/>
        </w:rPr>
        <w:t>Asimismo,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1017D6D5" w14:textId="09438785" w:rsidR="003B6533" w:rsidRPr="007536A1" w:rsidRDefault="007536A1" w:rsidP="003B6533">
      <w:pPr>
        <w:rPr>
          <w:rFonts w:ascii="Arial" w:hAnsi="Arial" w:cs="Arial"/>
          <w:sz w:val="22"/>
          <w:szCs w:val="22"/>
        </w:rPr>
      </w:pPr>
      <w:r w:rsidRPr="007536A1">
        <w:rPr>
          <w:rFonts w:ascii="Arial" w:hAnsi="Arial" w:cs="Arial"/>
          <w:b/>
          <w:bCs/>
          <w:sz w:val="22"/>
          <w:szCs w:val="22"/>
        </w:rPr>
        <w:t>Sé</w:t>
      </w:r>
      <w:r>
        <w:rPr>
          <w:rFonts w:ascii="Arial" w:hAnsi="Arial" w:cs="Arial"/>
          <w:b/>
          <w:bCs/>
          <w:sz w:val="22"/>
          <w:szCs w:val="22"/>
        </w:rPr>
        <w:t>ptimo</w:t>
      </w:r>
      <w:r w:rsidR="003B6533" w:rsidRPr="007536A1">
        <w:rPr>
          <w:rFonts w:ascii="Arial" w:hAnsi="Arial" w:cs="Arial"/>
          <w:b/>
          <w:bCs/>
          <w:sz w:val="22"/>
          <w:szCs w:val="22"/>
        </w:rPr>
        <w:t>.</w:t>
      </w:r>
      <w:r w:rsidR="003B6533" w:rsidRPr="007536A1">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7D995E5A" w14:textId="45E99E41" w:rsidR="003B6533" w:rsidRPr="007536A1" w:rsidRDefault="003B6533" w:rsidP="003B6533">
      <w:pPr>
        <w:rPr>
          <w:rFonts w:ascii="Arial" w:hAnsi="Arial" w:cs="Arial"/>
          <w:sz w:val="22"/>
          <w:szCs w:val="22"/>
        </w:rPr>
      </w:pPr>
      <w:r w:rsidRPr="007536A1">
        <w:rPr>
          <w:rFonts w:ascii="Arial" w:hAnsi="Arial" w:cs="Arial"/>
          <w:sz w:val="22"/>
          <w:szCs w:val="22"/>
        </w:rPr>
        <w:t>El presente acuerdo fue aprobado en sesión</w:t>
      </w:r>
      <w:r w:rsidR="007536A1">
        <w:rPr>
          <w:rFonts w:ascii="Arial" w:hAnsi="Arial" w:cs="Arial"/>
          <w:sz w:val="22"/>
          <w:szCs w:val="22"/>
        </w:rPr>
        <w:t xml:space="preserve"> extraordinaria</w:t>
      </w:r>
      <w:r w:rsidRPr="007536A1">
        <w:rPr>
          <w:rFonts w:ascii="Arial" w:hAnsi="Arial" w:cs="Arial"/>
          <w:sz w:val="22"/>
          <w:szCs w:val="22"/>
        </w:rPr>
        <w:t xml:space="preserve"> efectuada el </w:t>
      </w:r>
      <w:r w:rsidR="007536A1">
        <w:rPr>
          <w:rFonts w:ascii="Arial" w:hAnsi="Arial" w:cs="Arial"/>
          <w:sz w:val="22"/>
          <w:szCs w:val="22"/>
        </w:rPr>
        <w:t>día veintiuno</w:t>
      </w:r>
      <w:r w:rsidRPr="007536A1">
        <w:rPr>
          <w:rFonts w:ascii="Arial" w:hAnsi="Arial" w:cs="Arial"/>
          <w:sz w:val="22"/>
          <w:szCs w:val="22"/>
        </w:rPr>
        <w:t xml:space="preserve"> de </w:t>
      </w:r>
      <w:r w:rsidR="007536A1">
        <w:rPr>
          <w:rFonts w:ascii="Arial" w:hAnsi="Arial" w:cs="Arial"/>
          <w:sz w:val="22"/>
          <w:szCs w:val="22"/>
        </w:rPr>
        <w:t>mayo</w:t>
      </w:r>
      <w:r w:rsidRPr="007536A1">
        <w:rPr>
          <w:rFonts w:ascii="Arial" w:hAnsi="Arial" w:cs="Arial"/>
          <w:sz w:val="22"/>
          <w:szCs w:val="22"/>
        </w:rPr>
        <w:t xml:space="preserve"> del año dos mil veinticinco, por votación </w:t>
      </w:r>
      <w:r w:rsidR="007536A1">
        <w:rPr>
          <w:rFonts w:ascii="Arial" w:hAnsi="Arial" w:cs="Arial"/>
          <w:sz w:val="22"/>
          <w:szCs w:val="22"/>
        </w:rPr>
        <w:t>unánime</w:t>
      </w:r>
      <w:r w:rsidRPr="007536A1">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7536A1">
        <w:rPr>
          <w:rFonts w:ascii="Arial" w:hAnsi="Arial" w:cs="Arial"/>
          <w:sz w:val="22"/>
          <w:szCs w:val="22"/>
        </w:rPr>
        <w:t>Beaurregard</w:t>
      </w:r>
      <w:proofErr w:type="spellEnd"/>
      <w:r w:rsidRPr="007536A1">
        <w:rPr>
          <w:rFonts w:ascii="Arial" w:hAnsi="Arial" w:cs="Arial"/>
          <w:sz w:val="22"/>
          <w:szCs w:val="22"/>
        </w:rPr>
        <w:t>, Mtra. Ruth Lizette Toledo Peral y la Consejera Presidenta, Mtra. Elizabeth Nava Gutiérrez.</w:t>
      </w:r>
    </w:p>
    <w:p w14:paraId="7FC58CA4" w14:textId="3F38CDF6" w:rsidR="003B6533" w:rsidRDefault="003B6533" w:rsidP="003B6533">
      <w:pPr>
        <w:rPr>
          <w:rFonts w:ascii="Arial" w:hAnsi="Arial" w:cs="Arial"/>
          <w:sz w:val="22"/>
          <w:szCs w:val="22"/>
        </w:rPr>
      </w:pPr>
    </w:p>
    <w:p w14:paraId="01421CA7" w14:textId="77777777" w:rsidR="007536A1" w:rsidRPr="007536A1" w:rsidRDefault="007536A1" w:rsidP="003B6533">
      <w:pPr>
        <w:rPr>
          <w:rFonts w:ascii="Arial" w:hAnsi="Arial" w:cs="Arial"/>
          <w:sz w:val="22"/>
          <w:szCs w:val="22"/>
        </w:rPr>
      </w:pPr>
    </w:p>
    <w:p w14:paraId="293427C0" w14:textId="77777777" w:rsidR="003B6533" w:rsidRPr="007536A1" w:rsidRDefault="003B6533" w:rsidP="003B6533">
      <w:pPr>
        <w:rPr>
          <w:rFonts w:ascii="Arial" w:hAnsi="Arial" w:cs="Arial"/>
          <w:sz w:val="22"/>
          <w:szCs w:val="22"/>
        </w:rPr>
      </w:pPr>
    </w:p>
    <w:tbl>
      <w:tblPr>
        <w:tblStyle w:val="Tablaconcuadrcula"/>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9"/>
        <w:gridCol w:w="245"/>
        <w:gridCol w:w="4373"/>
      </w:tblGrid>
      <w:tr w:rsidR="003B6533" w:rsidRPr="007536A1" w14:paraId="542EA710" w14:textId="77777777" w:rsidTr="007536A1">
        <w:trPr>
          <w:trHeight w:val="885"/>
        </w:trPr>
        <w:tc>
          <w:tcPr>
            <w:tcW w:w="4569" w:type="dxa"/>
          </w:tcPr>
          <w:p w14:paraId="50E5C186" w14:textId="77777777" w:rsidR="003B6533" w:rsidRPr="007536A1" w:rsidRDefault="003B6533" w:rsidP="00D52D43">
            <w:pPr>
              <w:spacing w:before="0" w:after="0" w:line="264" w:lineRule="auto"/>
              <w:jc w:val="center"/>
              <w:rPr>
                <w:rFonts w:ascii="Arial" w:hAnsi="Arial" w:cs="Arial"/>
                <w:b/>
                <w:bCs/>
                <w:sz w:val="22"/>
                <w:szCs w:val="22"/>
              </w:rPr>
            </w:pPr>
            <w:r w:rsidRPr="007536A1">
              <w:rPr>
                <w:rFonts w:ascii="Arial" w:hAnsi="Arial" w:cs="Arial"/>
                <w:b/>
                <w:bCs/>
                <w:sz w:val="22"/>
                <w:szCs w:val="22"/>
              </w:rPr>
              <w:t>MTRA. ELIZABETH NAVA GUTIÉRREZ</w:t>
            </w:r>
          </w:p>
          <w:p w14:paraId="193E042E" w14:textId="77777777" w:rsidR="003B6533" w:rsidRPr="007536A1" w:rsidRDefault="003B6533" w:rsidP="00D52D43">
            <w:pPr>
              <w:spacing w:before="0" w:after="0" w:line="264" w:lineRule="auto"/>
              <w:jc w:val="center"/>
              <w:rPr>
                <w:rFonts w:ascii="Arial" w:hAnsi="Arial" w:cs="Arial"/>
                <w:b/>
                <w:bCs/>
                <w:sz w:val="22"/>
                <w:szCs w:val="22"/>
              </w:rPr>
            </w:pPr>
            <w:r w:rsidRPr="007536A1">
              <w:rPr>
                <w:rFonts w:ascii="Arial" w:hAnsi="Arial" w:cs="Arial"/>
                <w:b/>
                <w:bCs/>
                <w:sz w:val="22"/>
                <w:szCs w:val="22"/>
              </w:rPr>
              <w:t>CONSEJERA PRESIDENTA</w:t>
            </w:r>
          </w:p>
        </w:tc>
        <w:tc>
          <w:tcPr>
            <w:tcW w:w="245" w:type="dxa"/>
          </w:tcPr>
          <w:p w14:paraId="7B330BA9" w14:textId="77777777" w:rsidR="003B6533" w:rsidRPr="007536A1" w:rsidRDefault="003B6533" w:rsidP="00D52D43">
            <w:pPr>
              <w:spacing w:before="0" w:after="0" w:line="264" w:lineRule="auto"/>
              <w:rPr>
                <w:rFonts w:ascii="Arial" w:hAnsi="Arial" w:cs="Arial"/>
                <w:b/>
                <w:bCs/>
                <w:sz w:val="22"/>
                <w:szCs w:val="22"/>
              </w:rPr>
            </w:pPr>
          </w:p>
        </w:tc>
        <w:tc>
          <w:tcPr>
            <w:tcW w:w="4373" w:type="dxa"/>
          </w:tcPr>
          <w:p w14:paraId="70534003" w14:textId="77777777" w:rsidR="003B6533" w:rsidRPr="007536A1" w:rsidRDefault="003B6533" w:rsidP="00D52D43">
            <w:pPr>
              <w:spacing w:before="0" w:after="0" w:line="264" w:lineRule="auto"/>
              <w:jc w:val="center"/>
              <w:rPr>
                <w:rFonts w:ascii="Arial" w:hAnsi="Arial" w:cs="Arial"/>
                <w:b/>
                <w:bCs/>
                <w:sz w:val="22"/>
                <w:szCs w:val="22"/>
              </w:rPr>
            </w:pPr>
            <w:r w:rsidRPr="007536A1">
              <w:rPr>
                <w:rFonts w:ascii="Arial" w:hAnsi="Arial" w:cs="Arial"/>
                <w:b/>
                <w:bCs/>
                <w:sz w:val="22"/>
                <w:szCs w:val="22"/>
              </w:rPr>
              <w:t>LIC. JORGE ALBERTO ZAVALA FRÍAS</w:t>
            </w:r>
          </w:p>
          <w:p w14:paraId="44CBA967" w14:textId="77777777" w:rsidR="003B6533" w:rsidRPr="007536A1" w:rsidRDefault="003B6533" w:rsidP="00D52D43">
            <w:pPr>
              <w:spacing w:before="0" w:after="0" w:line="264" w:lineRule="auto"/>
              <w:jc w:val="center"/>
              <w:rPr>
                <w:rFonts w:ascii="Arial" w:hAnsi="Arial" w:cs="Arial"/>
                <w:b/>
                <w:bCs/>
                <w:sz w:val="22"/>
                <w:szCs w:val="22"/>
              </w:rPr>
            </w:pPr>
            <w:r w:rsidRPr="007536A1">
              <w:rPr>
                <w:rFonts w:ascii="Arial" w:hAnsi="Arial" w:cs="Arial"/>
                <w:b/>
                <w:bCs/>
                <w:sz w:val="22"/>
                <w:szCs w:val="22"/>
              </w:rPr>
              <w:t>SECRETARIO DEL CONSEJO</w:t>
            </w:r>
          </w:p>
        </w:tc>
      </w:tr>
    </w:tbl>
    <w:p w14:paraId="4ACE1479" w14:textId="5C1839B6" w:rsidR="00FB79AC" w:rsidRPr="007536A1" w:rsidRDefault="00FB79AC" w:rsidP="0041696A">
      <w:pPr>
        <w:rPr>
          <w:rFonts w:ascii="Arial" w:hAnsi="Arial" w:cs="Arial"/>
          <w:sz w:val="22"/>
          <w:szCs w:val="22"/>
        </w:rPr>
      </w:pPr>
    </w:p>
    <w:sectPr w:rsidR="00FB79AC" w:rsidRPr="007536A1" w:rsidSect="00527DA5">
      <w:headerReference w:type="default" r:id="rId7"/>
      <w:footerReference w:type="default" r:id="rId8"/>
      <w:pgSz w:w="12240" w:h="15840" w:code="1"/>
      <w:pgMar w:top="2835" w:right="1701" w:bottom="113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BEA74" w14:textId="77777777" w:rsidR="00F8624A" w:rsidRDefault="00F8624A" w:rsidP="00634CB9">
      <w:pPr>
        <w:spacing w:before="0" w:after="0" w:line="240" w:lineRule="auto"/>
      </w:pPr>
      <w:r>
        <w:separator/>
      </w:r>
    </w:p>
  </w:endnote>
  <w:endnote w:type="continuationSeparator" w:id="0">
    <w:p w14:paraId="362ADC41" w14:textId="77777777" w:rsidR="00F8624A" w:rsidRDefault="00F8624A" w:rsidP="00634C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235995AA-1E1E-447B-BDA2-09D8AA97B27A}"/>
    <w:embedBold r:id="rId2" w:fontKey="{79C89FDF-D74F-4D46-8F87-FBC4EF650EF8}"/>
    <w:embedItalic r:id="rId3" w:fontKey="{8E9C16A6-70CB-4567-BB2D-9FDCFCFAF6EF}"/>
  </w:font>
  <w:font w:name="Exo">
    <w:altName w:val="Times New Roman"/>
    <w:charset w:val="00"/>
    <w:family w:val="auto"/>
    <w:pitch w:val="variable"/>
    <w:sig w:usb0="A00000FF" w:usb1="4000204B" w:usb2="00000000" w:usb3="00000000" w:csb0="00000193" w:csb1="00000000"/>
    <w:embedRegular r:id="rId4" w:fontKey="{A9DD4DBF-6B1B-4908-A393-DCB3B27B556D}"/>
    <w:embedBold r:id="rId5" w:fontKey="{3CFC3F22-FF2F-4E0A-BF68-9033C2D580BA}"/>
    <w:embedItalic r:id="rId6" w:fontKey="{050EC2B7-413A-462D-B327-9E59599C391E}"/>
  </w:font>
  <w:font w:name="Aptos Display">
    <w:altName w:val="Arial"/>
    <w:charset w:val="00"/>
    <w:family w:val="swiss"/>
    <w:pitch w:val="variable"/>
    <w:sig w:usb0="20000287" w:usb1="00000003" w:usb2="00000000" w:usb3="00000000" w:csb0="0000019F" w:csb1="00000000"/>
    <w:embedRegular r:id="rId7" w:fontKey="{25D6DB27-C7C6-413B-A130-697CF2F83C8A}"/>
  </w:font>
  <w:font w:name="Segoe UI">
    <w:panose1 w:val="020B0502040204020203"/>
    <w:charset w:val="00"/>
    <w:family w:val="swiss"/>
    <w:pitch w:val="variable"/>
    <w:sig w:usb0="E4002EFF" w:usb1="C000E47F" w:usb2="00000009" w:usb3="00000000" w:csb0="000001FF" w:csb1="00000000"/>
    <w:embedRegular r:id="rId8" w:fontKey="{A0EB2EDD-08F5-40BE-BE96-7C13BDC15669}"/>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901525023"/>
      <w:docPartObj>
        <w:docPartGallery w:val="Page Numbers (Top of Page)"/>
        <w:docPartUnique/>
      </w:docPartObj>
    </w:sdtPr>
    <w:sdtEndPr/>
    <w:sdtContent>
      <w:p w14:paraId="2963BC36" w14:textId="60C5BD0F" w:rsidR="00CC6E4C" w:rsidRPr="007536A1" w:rsidRDefault="00CC6E4C" w:rsidP="00CC6E4C">
        <w:pPr>
          <w:pStyle w:val="Piedepgina"/>
          <w:spacing w:before="120"/>
          <w:jc w:val="right"/>
          <w:rPr>
            <w:rFonts w:ascii="Arial" w:hAnsi="Arial" w:cs="Arial"/>
            <w:color w:val="993366"/>
            <w:sz w:val="20"/>
            <w:szCs w:val="20"/>
          </w:rPr>
        </w:pPr>
        <w:r w:rsidRPr="007536A1">
          <w:rPr>
            <w:rFonts w:ascii="Arial" w:hAnsi="Arial" w:cs="Arial"/>
            <w:b/>
            <w:bCs/>
            <w:color w:val="993366"/>
          </w:rPr>
          <w:t xml:space="preserve">Página </w:t>
        </w:r>
        <w:r w:rsidRPr="007536A1">
          <w:rPr>
            <w:rFonts w:ascii="Arial" w:hAnsi="Arial" w:cs="Arial"/>
            <w:b/>
            <w:bCs/>
            <w:color w:val="993366"/>
          </w:rPr>
          <w:fldChar w:fldCharType="begin"/>
        </w:r>
        <w:r w:rsidRPr="007536A1">
          <w:rPr>
            <w:rFonts w:ascii="Arial" w:hAnsi="Arial" w:cs="Arial"/>
            <w:b/>
            <w:bCs/>
            <w:color w:val="993366"/>
          </w:rPr>
          <w:instrText>PAGE</w:instrText>
        </w:r>
        <w:r w:rsidRPr="007536A1">
          <w:rPr>
            <w:rFonts w:ascii="Arial" w:hAnsi="Arial" w:cs="Arial"/>
            <w:b/>
            <w:bCs/>
            <w:color w:val="993366"/>
          </w:rPr>
          <w:fldChar w:fldCharType="separate"/>
        </w:r>
        <w:r w:rsidR="002B7163">
          <w:rPr>
            <w:rFonts w:ascii="Arial" w:hAnsi="Arial" w:cs="Arial"/>
            <w:b/>
            <w:bCs/>
            <w:noProof/>
            <w:color w:val="993366"/>
          </w:rPr>
          <w:t>15</w:t>
        </w:r>
        <w:r w:rsidRPr="007536A1">
          <w:rPr>
            <w:rFonts w:ascii="Arial" w:hAnsi="Arial" w:cs="Arial"/>
            <w:b/>
            <w:bCs/>
            <w:color w:val="993366"/>
          </w:rPr>
          <w:fldChar w:fldCharType="end"/>
        </w:r>
        <w:r w:rsidRPr="007536A1">
          <w:rPr>
            <w:rFonts w:ascii="Arial" w:hAnsi="Arial" w:cs="Arial"/>
            <w:b/>
            <w:bCs/>
            <w:color w:val="993366"/>
          </w:rPr>
          <w:t xml:space="preserve"> | </w:t>
        </w:r>
        <w:r w:rsidRPr="007536A1">
          <w:rPr>
            <w:rFonts w:ascii="Arial" w:hAnsi="Arial" w:cs="Arial"/>
            <w:b/>
            <w:bCs/>
            <w:color w:val="993366"/>
          </w:rPr>
          <w:fldChar w:fldCharType="begin"/>
        </w:r>
        <w:r w:rsidRPr="007536A1">
          <w:rPr>
            <w:rFonts w:ascii="Arial" w:hAnsi="Arial" w:cs="Arial"/>
            <w:b/>
            <w:bCs/>
            <w:color w:val="993366"/>
          </w:rPr>
          <w:instrText>NUMPAGES</w:instrText>
        </w:r>
        <w:r w:rsidRPr="007536A1">
          <w:rPr>
            <w:rFonts w:ascii="Arial" w:hAnsi="Arial" w:cs="Arial"/>
            <w:b/>
            <w:bCs/>
            <w:color w:val="993366"/>
          </w:rPr>
          <w:fldChar w:fldCharType="separate"/>
        </w:r>
        <w:r w:rsidR="002B7163">
          <w:rPr>
            <w:rFonts w:ascii="Arial" w:hAnsi="Arial" w:cs="Arial"/>
            <w:b/>
            <w:bCs/>
            <w:noProof/>
            <w:color w:val="993366"/>
          </w:rPr>
          <w:t>15</w:t>
        </w:r>
        <w:r w:rsidRPr="007536A1">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4EC0E" w14:textId="77777777" w:rsidR="00F8624A" w:rsidRDefault="00F8624A" w:rsidP="00634CB9">
      <w:pPr>
        <w:spacing w:before="0" w:after="0" w:line="240" w:lineRule="auto"/>
      </w:pPr>
      <w:r>
        <w:separator/>
      </w:r>
    </w:p>
  </w:footnote>
  <w:footnote w:type="continuationSeparator" w:id="0">
    <w:p w14:paraId="340587D7" w14:textId="77777777" w:rsidR="00F8624A" w:rsidRDefault="00F8624A" w:rsidP="00634CB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634CB9" w14:paraId="2C99E59E" w14:textId="77777777" w:rsidTr="00D52D43">
      <w:tc>
        <w:tcPr>
          <w:tcW w:w="1813" w:type="dxa"/>
        </w:tcPr>
        <w:p w14:paraId="7E5C50F0" w14:textId="77777777" w:rsidR="00634CB9" w:rsidRDefault="00634CB9" w:rsidP="00634CB9">
          <w:pPr>
            <w:pStyle w:val="Encabezado"/>
          </w:pPr>
          <w:r>
            <w:rPr>
              <w:b/>
              <w:noProof/>
              <w:sz w:val="32"/>
              <w:lang w:val="es-MX" w:eastAsia="es-MX"/>
            </w:rPr>
            <w:drawing>
              <wp:inline distT="0" distB="0" distL="0" distR="0" wp14:anchorId="270A9EFD" wp14:editId="5D82196A">
                <wp:extent cx="1014331" cy="1199403"/>
                <wp:effectExtent l="0" t="0" r="0" b="1270"/>
                <wp:docPr id="1397816581" name="Imagen 139781658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369A116E" w14:textId="77777777" w:rsidR="00634CB9" w:rsidRPr="00B33A23" w:rsidRDefault="00634CB9" w:rsidP="00634CB9">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4F9B87BF" w14:textId="77777777" w:rsidR="00634CB9" w:rsidRDefault="00634CB9" w:rsidP="00634CB9">
          <w:pPr>
            <w:pStyle w:val="Encabezado"/>
            <w:spacing w:before="60"/>
            <w:jc w:val="center"/>
          </w:pPr>
          <w:r w:rsidRPr="00B33A23">
            <w:rPr>
              <w:rFonts w:ascii="Arial" w:hAnsi="Arial" w:cs="Arial"/>
              <w:b/>
              <w:bCs/>
              <w:sz w:val="28"/>
              <w:szCs w:val="28"/>
            </w:rPr>
            <w:t>CONSEJO ESTATAL</w:t>
          </w:r>
        </w:p>
      </w:tc>
      <w:tc>
        <w:tcPr>
          <w:tcW w:w="1560" w:type="dxa"/>
        </w:tcPr>
        <w:p w14:paraId="1CB37B9D" w14:textId="77777777" w:rsidR="00634CB9" w:rsidRDefault="00634CB9" w:rsidP="00634CB9">
          <w:pPr>
            <w:pStyle w:val="Encabezado"/>
            <w:spacing w:before="480"/>
            <w:jc w:val="right"/>
          </w:pPr>
          <w:r>
            <w:rPr>
              <w:noProof/>
              <w:lang w:val="es-MX" w:eastAsia="es-MX"/>
            </w:rPr>
            <w:drawing>
              <wp:inline distT="0" distB="0" distL="0" distR="0" wp14:anchorId="6315D89D" wp14:editId="5823E875">
                <wp:extent cx="921600" cy="756000"/>
                <wp:effectExtent l="0" t="0" r="0" b="6350"/>
                <wp:docPr id="127897904"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23D1111F" w14:textId="5065616B" w:rsidR="00634CB9" w:rsidRPr="007536A1" w:rsidRDefault="007536A1" w:rsidP="007536A1">
    <w:pPr>
      <w:pStyle w:val="Encabezado"/>
      <w:jc w:val="right"/>
      <w:rPr>
        <w:rFonts w:ascii="Arial" w:hAnsi="Arial" w:cs="Arial"/>
        <w:b/>
      </w:rPr>
    </w:pPr>
    <w:r w:rsidRPr="007536A1">
      <w:rPr>
        <w:rFonts w:ascii="Arial" w:hAnsi="Arial" w:cs="Arial"/>
        <w:b/>
      </w:rPr>
      <w:t>CE/2025/064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7A2F"/>
    <w:multiLevelType w:val="hybridMultilevel"/>
    <w:tmpl w:val="5F94095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D290474"/>
    <w:multiLevelType w:val="hybridMultilevel"/>
    <w:tmpl w:val="7F38FFF8"/>
    <w:lvl w:ilvl="0" w:tplc="080A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26A2B3B"/>
    <w:multiLevelType w:val="hybridMultilevel"/>
    <w:tmpl w:val="154A0FBA"/>
    <w:lvl w:ilvl="0" w:tplc="EBB62F9A">
      <w:start w:val="1"/>
      <w:numFmt w:val="upp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3847163"/>
    <w:multiLevelType w:val="hybridMultilevel"/>
    <w:tmpl w:val="E32EFACA"/>
    <w:lvl w:ilvl="0" w:tplc="080A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2951546A"/>
    <w:multiLevelType w:val="hybridMultilevel"/>
    <w:tmpl w:val="3A52DCD0"/>
    <w:lvl w:ilvl="0" w:tplc="E304C2F6">
      <w:start w:val="1"/>
      <w:numFmt w:val="lowerLetter"/>
      <w:lvlText w:val="%1)"/>
      <w:lvlJc w:val="left"/>
      <w:pPr>
        <w:ind w:left="1425" w:hanging="705"/>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5" w15:restartNumberingAfterBreak="0">
    <w:nsid w:val="389E534C"/>
    <w:multiLevelType w:val="hybridMultilevel"/>
    <w:tmpl w:val="EBEA2E6A"/>
    <w:lvl w:ilvl="0" w:tplc="1BD66616">
      <w:start w:val="1"/>
      <w:numFmt w:val="lowerLetter"/>
      <w:lvlText w:val="%1)"/>
      <w:lvlJc w:val="left"/>
      <w:pPr>
        <w:ind w:left="1065" w:hanging="705"/>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F9E549D"/>
    <w:multiLevelType w:val="hybridMultilevel"/>
    <w:tmpl w:val="CDBEA154"/>
    <w:lvl w:ilvl="0" w:tplc="080A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524A3521"/>
    <w:multiLevelType w:val="hybridMultilevel"/>
    <w:tmpl w:val="EDB4D892"/>
    <w:lvl w:ilvl="0" w:tplc="CB5E67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286677F"/>
    <w:multiLevelType w:val="hybridMultilevel"/>
    <w:tmpl w:val="5C325E90"/>
    <w:lvl w:ilvl="0" w:tplc="DC6EE73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C5E70F2"/>
    <w:multiLevelType w:val="hybridMultilevel"/>
    <w:tmpl w:val="62AE478C"/>
    <w:lvl w:ilvl="0" w:tplc="EBB62F9A">
      <w:start w:val="1"/>
      <w:numFmt w:val="upp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CD5426C"/>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0"/>
  </w:num>
  <w:num w:numId="9">
    <w:abstractNumId w:val="2"/>
  </w:num>
  <w:num w:numId="10">
    <w:abstractNumId w:val="9"/>
  </w:num>
  <w:num w:numId="11">
    <w:abstractNumId w:val="3"/>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AE7"/>
    <w:rsid w:val="00012AE7"/>
    <w:rsid w:val="00080134"/>
    <w:rsid w:val="000D70D8"/>
    <w:rsid w:val="000F01FD"/>
    <w:rsid w:val="000F4788"/>
    <w:rsid w:val="00181FCE"/>
    <w:rsid w:val="0021783C"/>
    <w:rsid w:val="00251CDE"/>
    <w:rsid w:val="00284D83"/>
    <w:rsid w:val="00295A5F"/>
    <w:rsid w:val="002B7163"/>
    <w:rsid w:val="002E063C"/>
    <w:rsid w:val="002F7F20"/>
    <w:rsid w:val="00302E0F"/>
    <w:rsid w:val="003B6533"/>
    <w:rsid w:val="00406890"/>
    <w:rsid w:val="0041696A"/>
    <w:rsid w:val="0042139B"/>
    <w:rsid w:val="004B0B9D"/>
    <w:rsid w:val="004F1C01"/>
    <w:rsid w:val="005116A0"/>
    <w:rsid w:val="00527DA5"/>
    <w:rsid w:val="00544AA3"/>
    <w:rsid w:val="00566365"/>
    <w:rsid w:val="005F4A26"/>
    <w:rsid w:val="00634CB9"/>
    <w:rsid w:val="00693776"/>
    <w:rsid w:val="006C4C11"/>
    <w:rsid w:val="007536A1"/>
    <w:rsid w:val="007A18C2"/>
    <w:rsid w:val="00813614"/>
    <w:rsid w:val="00816741"/>
    <w:rsid w:val="0086616B"/>
    <w:rsid w:val="00893438"/>
    <w:rsid w:val="008F2ED9"/>
    <w:rsid w:val="009036B3"/>
    <w:rsid w:val="00977286"/>
    <w:rsid w:val="00A3587B"/>
    <w:rsid w:val="00A979E2"/>
    <w:rsid w:val="00B70822"/>
    <w:rsid w:val="00B74F7B"/>
    <w:rsid w:val="00B85171"/>
    <w:rsid w:val="00C82014"/>
    <w:rsid w:val="00CA7A88"/>
    <w:rsid w:val="00CC0C41"/>
    <w:rsid w:val="00CC6E4C"/>
    <w:rsid w:val="00CE51C6"/>
    <w:rsid w:val="00D04484"/>
    <w:rsid w:val="00D768C3"/>
    <w:rsid w:val="00D8545A"/>
    <w:rsid w:val="00DC0ABC"/>
    <w:rsid w:val="00E150F6"/>
    <w:rsid w:val="00EB4497"/>
    <w:rsid w:val="00EC1780"/>
    <w:rsid w:val="00ED0D4A"/>
    <w:rsid w:val="00ED5B27"/>
    <w:rsid w:val="00F8624A"/>
    <w:rsid w:val="00F96231"/>
    <w:rsid w:val="00FB79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B34E"/>
  <w15:chartTrackingRefBased/>
  <w15:docId w15:val="{EAF53A9A-D658-4D24-9BA5-0EFACC6CA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AE7"/>
    <w:pPr>
      <w:spacing w:before="240" w:after="240" w:line="276" w:lineRule="auto"/>
      <w:jc w:val="both"/>
    </w:pPr>
    <w:rPr>
      <w:rFonts w:ascii="Exo" w:hAnsi="Exo"/>
      <w:lang w:val="es-ES"/>
    </w:rPr>
  </w:style>
  <w:style w:type="paragraph" w:styleId="Ttulo1">
    <w:name w:val="heading 1"/>
    <w:basedOn w:val="Normal"/>
    <w:next w:val="Normal"/>
    <w:link w:val="Ttulo1Car"/>
    <w:uiPriority w:val="9"/>
    <w:qFormat/>
    <w:rsid w:val="00012AE7"/>
    <w:pPr>
      <w:numPr>
        <w:numId w:val="12"/>
      </w:numPr>
      <w:spacing w:before="600" w:after="360"/>
      <w:jc w:val="center"/>
      <w:outlineLvl w:val="0"/>
    </w:pPr>
    <w:rPr>
      <w:b/>
      <w:bCs/>
      <w:sz w:val="28"/>
      <w:szCs w:val="28"/>
      <w:lang w:val="es-MX"/>
    </w:rPr>
  </w:style>
  <w:style w:type="paragraph" w:styleId="Ttulo2">
    <w:name w:val="heading 2"/>
    <w:basedOn w:val="Normal"/>
    <w:next w:val="Normal"/>
    <w:link w:val="Ttulo2Car"/>
    <w:uiPriority w:val="9"/>
    <w:unhideWhenUsed/>
    <w:qFormat/>
    <w:rsid w:val="00012AE7"/>
    <w:pPr>
      <w:numPr>
        <w:ilvl w:val="1"/>
        <w:numId w:val="12"/>
      </w:numPr>
      <w:spacing w:before="480"/>
      <w:outlineLvl w:val="1"/>
    </w:pPr>
    <w:rPr>
      <w:b/>
      <w:bCs/>
      <w:lang w:val="es-MX"/>
    </w:rPr>
  </w:style>
  <w:style w:type="paragraph" w:styleId="Ttulo3">
    <w:name w:val="heading 3"/>
    <w:basedOn w:val="Normal"/>
    <w:next w:val="Normal"/>
    <w:link w:val="Ttulo3Car"/>
    <w:uiPriority w:val="9"/>
    <w:semiHidden/>
    <w:unhideWhenUsed/>
    <w:qFormat/>
    <w:rsid w:val="00012AE7"/>
    <w:pPr>
      <w:keepNext/>
      <w:keepLines/>
      <w:numPr>
        <w:ilvl w:val="2"/>
        <w:numId w:val="1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12AE7"/>
    <w:pPr>
      <w:keepNext/>
      <w:keepLines/>
      <w:numPr>
        <w:ilvl w:val="3"/>
        <w:numId w:val="1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12AE7"/>
    <w:pPr>
      <w:keepNext/>
      <w:keepLines/>
      <w:numPr>
        <w:ilvl w:val="4"/>
        <w:numId w:val="1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12AE7"/>
    <w:pPr>
      <w:keepNext/>
      <w:keepLines/>
      <w:numPr>
        <w:ilvl w:val="5"/>
        <w:numId w:val="12"/>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12AE7"/>
    <w:pPr>
      <w:keepNext/>
      <w:keepLines/>
      <w:numPr>
        <w:ilvl w:val="6"/>
        <w:numId w:val="12"/>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12AE7"/>
    <w:pPr>
      <w:keepNext/>
      <w:keepLines/>
      <w:numPr>
        <w:ilvl w:val="7"/>
        <w:numId w:val="12"/>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12AE7"/>
    <w:pPr>
      <w:keepNext/>
      <w:keepLines/>
      <w:numPr>
        <w:ilvl w:val="8"/>
        <w:numId w:val="12"/>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2AE7"/>
    <w:rPr>
      <w:rFonts w:ascii="Exo" w:hAnsi="Exo"/>
      <w:b/>
      <w:bCs/>
      <w:sz w:val="28"/>
      <w:szCs w:val="28"/>
    </w:rPr>
  </w:style>
  <w:style w:type="character" w:customStyle="1" w:styleId="Ttulo2Car">
    <w:name w:val="Título 2 Car"/>
    <w:basedOn w:val="Fuentedeprrafopredeter"/>
    <w:link w:val="Ttulo2"/>
    <w:uiPriority w:val="9"/>
    <w:rsid w:val="00012AE7"/>
    <w:rPr>
      <w:rFonts w:ascii="Exo" w:hAnsi="Exo"/>
      <w:b/>
      <w:bCs/>
    </w:rPr>
  </w:style>
  <w:style w:type="character" w:customStyle="1" w:styleId="Ttulo3Car">
    <w:name w:val="Título 3 Car"/>
    <w:basedOn w:val="Fuentedeprrafopredeter"/>
    <w:link w:val="Ttulo3"/>
    <w:uiPriority w:val="9"/>
    <w:semiHidden/>
    <w:rsid w:val="00012AE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12AE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12AE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12AE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12AE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12AE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12AE7"/>
    <w:rPr>
      <w:rFonts w:eastAsiaTheme="majorEastAsia" w:cstheme="majorBidi"/>
      <w:color w:val="272727" w:themeColor="text1" w:themeTint="D8"/>
    </w:rPr>
  </w:style>
  <w:style w:type="paragraph" w:styleId="Ttulo">
    <w:name w:val="Title"/>
    <w:basedOn w:val="Normal"/>
    <w:next w:val="Normal"/>
    <w:link w:val="TtuloCar"/>
    <w:uiPriority w:val="10"/>
    <w:qFormat/>
    <w:rsid w:val="00012A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12AE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12AE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12AE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12AE7"/>
    <w:pPr>
      <w:spacing w:before="160"/>
      <w:jc w:val="center"/>
    </w:pPr>
    <w:rPr>
      <w:i/>
      <w:iCs/>
      <w:color w:val="404040" w:themeColor="text1" w:themeTint="BF"/>
    </w:rPr>
  </w:style>
  <w:style w:type="character" w:customStyle="1" w:styleId="CitaCar">
    <w:name w:val="Cita Car"/>
    <w:basedOn w:val="Fuentedeprrafopredeter"/>
    <w:link w:val="Cita"/>
    <w:uiPriority w:val="29"/>
    <w:rsid w:val="00012AE7"/>
    <w:rPr>
      <w:i/>
      <w:iCs/>
      <w:color w:val="404040" w:themeColor="text1" w:themeTint="BF"/>
    </w:rPr>
  </w:style>
  <w:style w:type="paragraph" w:styleId="Prrafodelista">
    <w:name w:val="List Paragraph"/>
    <w:basedOn w:val="Normal"/>
    <w:uiPriority w:val="34"/>
    <w:qFormat/>
    <w:rsid w:val="00012AE7"/>
    <w:pPr>
      <w:ind w:left="720"/>
      <w:contextualSpacing/>
    </w:pPr>
  </w:style>
  <w:style w:type="character" w:styleId="nfasisintenso">
    <w:name w:val="Intense Emphasis"/>
    <w:basedOn w:val="Fuentedeprrafopredeter"/>
    <w:uiPriority w:val="21"/>
    <w:qFormat/>
    <w:rsid w:val="00012AE7"/>
    <w:rPr>
      <w:i/>
      <w:iCs/>
      <w:color w:val="0F4761" w:themeColor="accent1" w:themeShade="BF"/>
    </w:rPr>
  </w:style>
  <w:style w:type="paragraph" w:styleId="Citadestacada">
    <w:name w:val="Intense Quote"/>
    <w:basedOn w:val="Normal"/>
    <w:next w:val="Normal"/>
    <w:link w:val="CitadestacadaCar"/>
    <w:uiPriority w:val="30"/>
    <w:qFormat/>
    <w:rsid w:val="00012A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12AE7"/>
    <w:rPr>
      <w:i/>
      <w:iCs/>
      <w:color w:val="0F4761" w:themeColor="accent1" w:themeShade="BF"/>
    </w:rPr>
  </w:style>
  <w:style w:type="character" w:styleId="Referenciaintensa">
    <w:name w:val="Intense Reference"/>
    <w:basedOn w:val="Fuentedeprrafopredeter"/>
    <w:uiPriority w:val="32"/>
    <w:qFormat/>
    <w:rsid w:val="00012AE7"/>
    <w:rPr>
      <w:b/>
      <w:bCs/>
      <w:smallCaps/>
      <w:color w:val="0F4761" w:themeColor="accent1" w:themeShade="BF"/>
      <w:spacing w:val="5"/>
    </w:rPr>
  </w:style>
  <w:style w:type="table" w:styleId="Tablaconcuadrcula">
    <w:name w:val="Table Grid"/>
    <w:basedOn w:val="Tablanormal"/>
    <w:uiPriority w:val="39"/>
    <w:rsid w:val="00A35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34CB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34CB9"/>
    <w:rPr>
      <w:rFonts w:ascii="Exo" w:hAnsi="Exo"/>
      <w:lang w:val="es-ES"/>
    </w:rPr>
  </w:style>
  <w:style w:type="paragraph" w:styleId="Piedepgina">
    <w:name w:val="footer"/>
    <w:basedOn w:val="Normal"/>
    <w:link w:val="PiedepginaCar"/>
    <w:uiPriority w:val="99"/>
    <w:unhideWhenUsed/>
    <w:rsid w:val="00634CB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34CB9"/>
    <w:rPr>
      <w:rFonts w:ascii="Exo" w:hAnsi="Exo"/>
      <w:lang w:val="es-ES"/>
    </w:rPr>
  </w:style>
  <w:style w:type="paragraph" w:styleId="Textodeglobo">
    <w:name w:val="Balloon Text"/>
    <w:basedOn w:val="Normal"/>
    <w:link w:val="TextodegloboCar"/>
    <w:uiPriority w:val="99"/>
    <w:semiHidden/>
    <w:unhideWhenUsed/>
    <w:rsid w:val="00181FCE"/>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1FCE"/>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22119">
      <w:bodyDiv w:val="1"/>
      <w:marLeft w:val="0"/>
      <w:marRight w:val="0"/>
      <w:marTop w:val="0"/>
      <w:marBottom w:val="0"/>
      <w:divBdr>
        <w:top w:val="none" w:sz="0" w:space="0" w:color="auto"/>
        <w:left w:val="none" w:sz="0" w:space="0" w:color="auto"/>
        <w:bottom w:val="none" w:sz="0" w:space="0" w:color="auto"/>
        <w:right w:val="none" w:sz="0" w:space="0" w:color="auto"/>
      </w:divBdr>
    </w:div>
    <w:div w:id="109898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15</Pages>
  <Words>4854</Words>
  <Characters>26700</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Coordinación Técnica</cp:lastModifiedBy>
  <cp:revision>53</cp:revision>
  <cp:lastPrinted>2025-05-21T19:22:00Z</cp:lastPrinted>
  <dcterms:created xsi:type="dcterms:W3CDTF">2025-05-20T16:19:00Z</dcterms:created>
  <dcterms:modified xsi:type="dcterms:W3CDTF">2025-05-21T19:22:00Z</dcterms:modified>
</cp:coreProperties>
</file>