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D79DF" w14:textId="6E1828CE" w:rsidR="00D97577" w:rsidRPr="000F4F8C" w:rsidRDefault="000F4F8C" w:rsidP="000F4F8C">
      <w:pPr>
        <w:spacing w:before="0" w:after="360"/>
        <w:rPr>
          <w:rFonts w:ascii="Arial" w:hAnsi="Arial" w:cs="Arial"/>
          <w:b/>
          <w:bCs/>
        </w:rPr>
      </w:pPr>
      <w:r w:rsidRPr="000F4F8C">
        <w:rPr>
          <w:rFonts w:ascii="Arial" w:hAnsi="Arial" w:cs="Arial"/>
          <w:b/>
          <w:bCs/>
        </w:rPr>
        <w:t>ACUERDO QUE, A PROPUESTA DE LA COMISIÓN TEMPORAL DE FOROS DE DEBATES, EMITE EL CONSEJO ESTATAL DEL INSTITUTO ELECTORAL Y DE PARTICIPACIÓN CIUDADANA DE TABASCO POR EL QUE APRUEBA EL NÚMERO DE FOROS DE DEBATES A REALIZAR, EL CALENDARIO Y CANDIDATURAS PARTICIPANTES DE LAS MAGISTRATURAS DEL TRIBUNAL DE DISCIPLINA JUDICIAL Y DEL TRIBUNAL SUPERIOR DE JUSTICIA, CON MOTIVO DEL PROCESO ELECTORAL LOCAL EXTRAORDINARIO PARA PERSONAS JUZGADORAS DEL PODER JUDICIAL DEL ESTADO DE TABASCO 2024 – 2025</w:t>
      </w:r>
    </w:p>
    <w:p w14:paraId="1B6A41F3" w14:textId="2CF1C99C" w:rsidR="000C113F" w:rsidRPr="000F4F8C" w:rsidRDefault="000C113F" w:rsidP="000C113F">
      <w:pPr>
        <w:rPr>
          <w:rFonts w:ascii="Arial" w:hAnsi="Arial" w:cs="Arial"/>
          <w:sz w:val="22"/>
        </w:rPr>
      </w:pPr>
      <w:r w:rsidRPr="000F4F8C">
        <w:rPr>
          <w:rFonts w:ascii="Arial" w:hAnsi="Arial" w:cs="Arial"/>
          <w:sz w:val="22"/>
        </w:rPr>
        <w:t>Para efectos del presente acuerdo se usarán las abreviaturas y definiciones siguientes:</w:t>
      </w:r>
    </w:p>
    <w:tbl>
      <w:tblPr>
        <w:tblW w:w="7348" w:type="dxa"/>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400" w:firstRow="0" w:lastRow="0" w:firstColumn="0" w:lastColumn="0" w:noHBand="0" w:noVBand="1"/>
      </w:tblPr>
      <w:tblGrid>
        <w:gridCol w:w="3001"/>
        <w:gridCol w:w="4347"/>
      </w:tblGrid>
      <w:tr w:rsidR="00D448D3" w:rsidRPr="000F4F8C" w14:paraId="2C0C03A9" w14:textId="77777777" w:rsidTr="00F36E2B">
        <w:trPr>
          <w:trHeight w:val="624"/>
          <w:jc w:val="center"/>
        </w:trPr>
        <w:tc>
          <w:tcPr>
            <w:tcW w:w="3001" w:type="dxa"/>
            <w:shd w:val="clear" w:color="auto" w:fill="auto"/>
            <w:vAlign w:val="center"/>
          </w:tcPr>
          <w:p w14:paraId="74941218"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Comisión:</w:t>
            </w:r>
          </w:p>
        </w:tc>
        <w:tc>
          <w:tcPr>
            <w:tcW w:w="4347" w:type="dxa"/>
            <w:shd w:val="clear" w:color="auto" w:fill="auto"/>
            <w:vAlign w:val="center"/>
          </w:tcPr>
          <w:p w14:paraId="6F8713B5"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Comisión Temporal de Foros de Debates del Instituto Electoral y de Participación Ciudadana de Tabasco.</w:t>
            </w:r>
          </w:p>
        </w:tc>
      </w:tr>
      <w:tr w:rsidR="00D448D3" w:rsidRPr="000F4F8C" w14:paraId="2CF0675B" w14:textId="77777777" w:rsidTr="00F36E2B">
        <w:trPr>
          <w:trHeight w:val="624"/>
          <w:jc w:val="center"/>
        </w:trPr>
        <w:tc>
          <w:tcPr>
            <w:tcW w:w="3001" w:type="dxa"/>
            <w:shd w:val="clear" w:color="auto" w:fill="auto"/>
            <w:vAlign w:val="center"/>
          </w:tcPr>
          <w:p w14:paraId="63F53C70"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Consejo Estatal:</w:t>
            </w:r>
          </w:p>
        </w:tc>
        <w:tc>
          <w:tcPr>
            <w:tcW w:w="4347" w:type="dxa"/>
            <w:shd w:val="clear" w:color="auto" w:fill="auto"/>
            <w:vAlign w:val="center"/>
          </w:tcPr>
          <w:p w14:paraId="521C90EB"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Consejo Estatal del Instituto Electoral y de Participación Ciudadana de Tabasco.</w:t>
            </w:r>
          </w:p>
        </w:tc>
      </w:tr>
      <w:tr w:rsidR="00D448D3" w:rsidRPr="000F4F8C" w14:paraId="38C50248" w14:textId="77777777" w:rsidTr="00F36E2B">
        <w:trPr>
          <w:trHeight w:val="624"/>
          <w:jc w:val="center"/>
        </w:trPr>
        <w:tc>
          <w:tcPr>
            <w:tcW w:w="3001" w:type="dxa"/>
            <w:shd w:val="clear" w:color="auto" w:fill="auto"/>
            <w:vAlign w:val="center"/>
          </w:tcPr>
          <w:p w14:paraId="1DB9DBB0"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Constitución Federal:</w:t>
            </w:r>
          </w:p>
        </w:tc>
        <w:tc>
          <w:tcPr>
            <w:tcW w:w="4347" w:type="dxa"/>
            <w:shd w:val="clear" w:color="auto" w:fill="auto"/>
            <w:vAlign w:val="center"/>
          </w:tcPr>
          <w:p w14:paraId="7E2DA94E"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Constitución Política de los Estados Unidos Mexicanos.</w:t>
            </w:r>
          </w:p>
        </w:tc>
      </w:tr>
      <w:tr w:rsidR="00D448D3" w:rsidRPr="000F4F8C" w14:paraId="3088C71E" w14:textId="77777777" w:rsidTr="00F36E2B">
        <w:trPr>
          <w:trHeight w:val="624"/>
          <w:jc w:val="center"/>
        </w:trPr>
        <w:tc>
          <w:tcPr>
            <w:tcW w:w="3001" w:type="dxa"/>
            <w:shd w:val="clear" w:color="auto" w:fill="auto"/>
            <w:vAlign w:val="center"/>
          </w:tcPr>
          <w:p w14:paraId="78F56230"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Constitución Local:</w:t>
            </w:r>
          </w:p>
        </w:tc>
        <w:tc>
          <w:tcPr>
            <w:tcW w:w="4347" w:type="dxa"/>
            <w:shd w:val="clear" w:color="auto" w:fill="auto"/>
            <w:vAlign w:val="center"/>
          </w:tcPr>
          <w:p w14:paraId="78C4CA10"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Constitución Política del Estado Libre y Soberano de Tabasco.</w:t>
            </w:r>
          </w:p>
        </w:tc>
      </w:tr>
      <w:tr w:rsidR="00D448D3" w:rsidRPr="000F4F8C" w14:paraId="771AEB22" w14:textId="77777777" w:rsidTr="00F36E2B">
        <w:trPr>
          <w:trHeight w:val="624"/>
          <w:jc w:val="center"/>
        </w:trPr>
        <w:tc>
          <w:tcPr>
            <w:tcW w:w="3001" w:type="dxa"/>
            <w:shd w:val="clear" w:color="auto" w:fill="auto"/>
            <w:vAlign w:val="center"/>
          </w:tcPr>
          <w:p w14:paraId="0A4B94C1"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Instituto:</w:t>
            </w:r>
          </w:p>
        </w:tc>
        <w:tc>
          <w:tcPr>
            <w:tcW w:w="4347" w:type="dxa"/>
            <w:shd w:val="clear" w:color="auto" w:fill="auto"/>
          </w:tcPr>
          <w:p w14:paraId="10967533"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Instituto Electoral y de Participación Ciudadana de Tabasco.</w:t>
            </w:r>
          </w:p>
        </w:tc>
      </w:tr>
      <w:tr w:rsidR="00D448D3" w:rsidRPr="000F4F8C" w14:paraId="293311B1" w14:textId="77777777" w:rsidTr="00F36E2B">
        <w:trPr>
          <w:trHeight w:val="624"/>
          <w:jc w:val="center"/>
        </w:trPr>
        <w:tc>
          <w:tcPr>
            <w:tcW w:w="3001" w:type="dxa"/>
            <w:shd w:val="clear" w:color="auto" w:fill="auto"/>
            <w:vAlign w:val="center"/>
          </w:tcPr>
          <w:p w14:paraId="5EBB6DBD"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Ley Electoral:</w:t>
            </w:r>
          </w:p>
        </w:tc>
        <w:tc>
          <w:tcPr>
            <w:tcW w:w="4347" w:type="dxa"/>
            <w:shd w:val="clear" w:color="auto" w:fill="auto"/>
            <w:vAlign w:val="center"/>
          </w:tcPr>
          <w:p w14:paraId="576DC533"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Ley Electoral y de Partidos Políticos del Estado de Tabasco.</w:t>
            </w:r>
          </w:p>
        </w:tc>
      </w:tr>
      <w:tr w:rsidR="00D448D3" w:rsidRPr="000F4F8C" w14:paraId="00E5AEBA" w14:textId="77777777" w:rsidTr="00F36E2B">
        <w:trPr>
          <w:trHeight w:val="624"/>
          <w:jc w:val="center"/>
        </w:trPr>
        <w:tc>
          <w:tcPr>
            <w:tcW w:w="3001" w:type="dxa"/>
            <w:shd w:val="clear" w:color="auto" w:fill="auto"/>
            <w:vAlign w:val="center"/>
          </w:tcPr>
          <w:p w14:paraId="273A76D0"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Ley General:</w:t>
            </w:r>
          </w:p>
        </w:tc>
        <w:tc>
          <w:tcPr>
            <w:tcW w:w="4347" w:type="dxa"/>
            <w:shd w:val="clear" w:color="auto" w:fill="auto"/>
            <w:vAlign w:val="center"/>
          </w:tcPr>
          <w:p w14:paraId="08ECD64B"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Ley General de Instituciones y Procedimientos Electorales.</w:t>
            </w:r>
          </w:p>
        </w:tc>
      </w:tr>
      <w:tr w:rsidR="00D448D3" w:rsidRPr="000F4F8C" w14:paraId="6B46D902" w14:textId="77777777" w:rsidTr="00F36E2B">
        <w:trPr>
          <w:trHeight w:val="624"/>
          <w:jc w:val="center"/>
        </w:trPr>
        <w:tc>
          <w:tcPr>
            <w:tcW w:w="3001" w:type="dxa"/>
            <w:shd w:val="clear" w:color="auto" w:fill="auto"/>
            <w:vAlign w:val="center"/>
          </w:tcPr>
          <w:p w14:paraId="527D70E5"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Lineamientos:</w:t>
            </w:r>
          </w:p>
        </w:tc>
        <w:tc>
          <w:tcPr>
            <w:tcW w:w="4347" w:type="dxa"/>
            <w:shd w:val="clear" w:color="auto" w:fill="auto"/>
            <w:vAlign w:val="center"/>
          </w:tcPr>
          <w:p w14:paraId="3160D7E2"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Lineamientos para la organización, desarrollo y difusión de los foros de debates públicos virtuales, para el Proceso Electoral Local Extraordinario para personas Juzgadoras del Poder Judicial del Estado de Tabasco 2024-2025.</w:t>
            </w:r>
          </w:p>
        </w:tc>
      </w:tr>
      <w:tr w:rsidR="00D448D3" w:rsidRPr="000F4F8C" w14:paraId="7726E299" w14:textId="77777777" w:rsidTr="00F36E2B">
        <w:trPr>
          <w:trHeight w:val="624"/>
          <w:jc w:val="center"/>
        </w:trPr>
        <w:tc>
          <w:tcPr>
            <w:tcW w:w="3001" w:type="dxa"/>
            <w:shd w:val="clear" w:color="auto" w:fill="auto"/>
            <w:vAlign w:val="center"/>
          </w:tcPr>
          <w:p w14:paraId="18000EC0"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lastRenderedPageBreak/>
              <w:t>Reglamento de Comisiones:</w:t>
            </w:r>
          </w:p>
        </w:tc>
        <w:tc>
          <w:tcPr>
            <w:tcW w:w="4347" w:type="dxa"/>
            <w:shd w:val="clear" w:color="auto" w:fill="auto"/>
            <w:vAlign w:val="center"/>
          </w:tcPr>
          <w:p w14:paraId="55429A50"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Reglamento de Comisiones del Consejo Estatal del Instituto Electoral y de Participación Ciudadana de Tabasco.</w:t>
            </w:r>
          </w:p>
        </w:tc>
      </w:tr>
      <w:tr w:rsidR="00D448D3" w:rsidRPr="000F4F8C" w14:paraId="4C8AF588" w14:textId="77777777" w:rsidTr="00F36E2B">
        <w:trPr>
          <w:trHeight w:val="949"/>
          <w:jc w:val="center"/>
        </w:trPr>
        <w:tc>
          <w:tcPr>
            <w:tcW w:w="3001" w:type="dxa"/>
            <w:shd w:val="clear" w:color="auto" w:fill="auto"/>
            <w:vAlign w:val="center"/>
          </w:tcPr>
          <w:p w14:paraId="29D00B3C"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Reglamento de Elecciones:</w:t>
            </w:r>
          </w:p>
        </w:tc>
        <w:tc>
          <w:tcPr>
            <w:tcW w:w="4347" w:type="dxa"/>
            <w:shd w:val="clear" w:color="auto" w:fill="auto"/>
            <w:vAlign w:val="center"/>
          </w:tcPr>
          <w:p w14:paraId="2D4BB5D2"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Reglamento de Elecciones del Instituto Nacional Electoral.</w:t>
            </w:r>
          </w:p>
        </w:tc>
      </w:tr>
      <w:tr w:rsidR="00D448D3" w:rsidRPr="000F4F8C" w14:paraId="3549A327" w14:textId="77777777" w:rsidTr="00F36E2B">
        <w:trPr>
          <w:trHeight w:val="624"/>
          <w:jc w:val="center"/>
        </w:trPr>
        <w:tc>
          <w:tcPr>
            <w:tcW w:w="3001" w:type="dxa"/>
            <w:shd w:val="clear" w:color="auto" w:fill="auto"/>
            <w:vAlign w:val="center"/>
          </w:tcPr>
          <w:p w14:paraId="09FA3DBF" w14:textId="77777777" w:rsidR="00D448D3" w:rsidRPr="000F4F8C" w:rsidRDefault="00D448D3" w:rsidP="00F36E2B">
            <w:pPr>
              <w:spacing w:before="120" w:after="120"/>
              <w:jc w:val="right"/>
              <w:rPr>
                <w:rFonts w:ascii="Arial" w:eastAsia="Arial" w:hAnsi="Arial" w:cs="Arial"/>
                <w:b/>
                <w:sz w:val="20"/>
                <w:szCs w:val="22"/>
              </w:rPr>
            </w:pPr>
            <w:r w:rsidRPr="000F4F8C">
              <w:rPr>
                <w:rFonts w:ascii="Arial" w:eastAsia="Arial" w:hAnsi="Arial" w:cs="Arial"/>
                <w:b/>
                <w:sz w:val="20"/>
                <w:szCs w:val="22"/>
              </w:rPr>
              <w:t>Secretaría Ejecutiva:</w:t>
            </w:r>
          </w:p>
        </w:tc>
        <w:tc>
          <w:tcPr>
            <w:tcW w:w="4347" w:type="dxa"/>
            <w:shd w:val="clear" w:color="auto" w:fill="auto"/>
            <w:vAlign w:val="center"/>
          </w:tcPr>
          <w:p w14:paraId="601F8BF8" w14:textId="77777777" w:rsidR="00D448D3" w:rsidRPr="000F4F8C" w:rsidRDefault="00D448D3" w:rsidP="00F36E2B">
            <w:pPr>
              <w:spacing w:before="120" w:after="120"/>
              <w:rPr>
                <w:rFonts w:ascii="Arial" w:eastAsia="Arial" w:hAnsi="Arial" w:cs="Arial"/>
                <w:sz w:val="20"/>
                <w:szCs w:val="22"/>
              </w:rPr>
            </w:pPr>
            <w:r w:rsidRPr="000F4F8C">
              <w:rPr>
                <w:rFonts w:ascii="Arial" w:eastAsia="Arial" w:hAnsi="Arial" w:cs="Arial"/>
                <w:sz w:val="20"/>
                <w:szCs w:val="22"/>
              </w:rPr>
              <w:t>Secretaría Ejecutiva del Instituto Electoral y de Participación Ciudadana de Tabasco.</w:t>
            </w:r>
          </w:p>
        </w:tc>
      </w:tr>
    </w:tbl>
    <w:p w14:paraId="0AEAE76A" w14:textId="77777777" w:rsidR="000C113F" w:rsidRPr="000F4F8C" w:rsidRDefault="000C113F" w:rsidP="000F4F8C">
      <w:pPr>
        <w:pStyle w:val="Ttulo1"/>
        <w:spacing w:before="360"/>
        <w:ind w:left="431" w:hanging="431"/>
        <w:rPr>
          <w:rFonts w:ascii="Arial" w:hAnsi="Arial" w:cs="Arial"/>
          <w:sz w:val="24"/>
        </w:rPr>
      </w:pPr>
      <w:r w:rsidRPr="000F4F8C">
        <w:rPr>
          <w:rFonts w:ascii="Arial" w:hAnsi="Arial" w:cs="Arial"/>
          <w:sz w:val="24"/>
        </w:rPr>
        <w:t>Antecedentes</w:t>
      </w:r>
    </w:p>
    <w:p w14:paraId="70BC9284"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Fines del Instituto</w:t>
      </w:r>
    </w:p>
    <w:p w14:paraId="0D4DB6F6"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970A925"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 del Poder Judicial del Estado.</w:t>
      </w:r>
    </w:p>
    <w:p w14:paraId="7215EFF7"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4EA3DCED"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lastRenderedPageBreak/>
        <w:t>Integración del órgano superior de dirección</w:t>
      </w:r>
    </w:p>
    <w:p w14:paraId="7F5F5639"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077BB8A7"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3067A088"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12864E49"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Órganos centrales del Instituto</w:t>
      </w:r>
    </w:p>
    <w:p w14:paraId="457607EF"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De acuerdo con el artículo 105 numeral 1 de la Ley Electoral los órganos centrales del Instituto son los siguientes:</w:t>
      </w:r>
    </w:p>
    <w:p w14:paraId="5C1B2541" w14:textId="1ABF6088" w:rsidR="000C113F" w:rsidRPr="000F4F8C" w:rsidRDefault="000C113F" w:rsidP="00102728">
      <w:pPr>
        <w:pStyle w:val="Prrafodelista"/>
        <w:widowControl w:val="0"/>
        <w:numPr>
          <w:ilvl w:val="0"/>
          <w:numId w:val="2"/>
        </w:numPr>
        <w:spacing w:before="120" w:after="120"/>
        <w:ind w:left="1077"/>
        <w:contextualSpacing w:val="0"/>
        <w:rPr>
          <w:rFonts w:ascii="Arial" w:hAnsi="Arial" w:cs="Arial"/>
          <w:sz w:val="22"/>
          <w:szCs w:val="22"/>
        </w:rPr>
      </w:pPr>
      <w:r w:rsidRPr="000F4F8C">
        <w:rPr>
          <w:rFonts w:ascii="Arial" w:hAnsi="Arial" w:cs="Arial"/>
          <w:sz w:val="22"/>
          <w:szCs w:val="22"/>
        </w:rPr>
        <w:t>Consejo Estatal;</w:t>
      </w:r>
    </w:p>
    <w:p w14:paraId="187108C1" w14:textId="5EAB19AD" w:rsidR="000C113F" w:rsidRPr="000F4F8C" w:rsidRDefault="000C113F" w:rsidP="00102728">
      <w:pPr>
        <w:pStyle w:val="Prrafodelista"/>
        <w:widowControl w:val="0"/>
        <w:numPr>
          <w:ilvl w:val="0"/>
          <w:numId w:val="2"/>
        </w:numPr>
        <w:spacing w:before="120" w:after="120"/>
        <w:ind w:left="1077"/>
        <w:contextualSpacing w:val="0"/>
        <w:rPr>
          <w:rFonts w:ascii="Arial" w:hAnsi="Arial" w:cs="Arial"/>
          <w:sz w:val="22"/>
          <w:szCs w:val="22"/>
        </w:rPr>
      </w:pPr>
      <w:r w:rsidRPr="000F4F8C">
        <w:rPr>
          <w:rFonts w:ascii="Arial" w:hAnsi="Arial" w:cs="Arial"/>
          <w:sz w:val="22"/>
          <w:szCs w:val="22"/>
        </w:rPr>
        <w:t>Presidencia del Consejo Estatal;</w:t>
      </w:r>
    </w:p>
    <w:p w14:paraId="43699B4C" w14:textId="0831E065" w:rsidR="000C113F" w:rsidRPr="000F4F8C" w:rsidRDefault="000C113F" w:rsidP="00102728">
      <w:pPr>
        <w:pStyle w:val="Prrafodelista"/>
        <w:widowControl w:val="0"/>
        <w:numPr>
          <w:ilvl w:val="0"/>
          <w:numId w:val="2"/>
        </w:numPr>
        <w:spacing w:before="120" w:after="120"/>
        <w:ind w:left="1077"/>
        <w:contextualSpacing w:val="0"/>
        <w:rPr>
          <w:rFonts w:ascii="Arial" w:hAnsi="Arial" w:cs="Arial"/>
          <w:sz w:val="22"/>
          <w:szCs w:val="22"/>
        </w:rPr>
      </w:pPr>
      <w:r w:rsidRPr="000F4F8C">
        <w:rPr>
          <w:rFonts w:ascii="Arial" w:hAnsi="Arial" w:cs="Arial"/>
          <w:sz w:val="22"/>
          <w:szCs w:val="22"/>
        </w:rPr>
        <w:t>Junta Estatal Ejecutiva;</w:t>
      </w:r>
    </w:p>
    <w:p w14:paraId="45777B84" w14:textId="3893BE87" w:rsidR="000C113F" w:rsidRPr="000F4F8C" w:rsidRDefault="000C113F" w:rsidP="00102728">
      <w:pPr>
        <w:pStyle w:val="Prrafodelista"/>
        <w:widowControl w:val="0"/>
        <w:numPr>
          <w:ilvl w:val="0"/>
          <w:numId w:val="2"/>
        </w:numPr>
        <w:spacing w:before="120" w:after="120"/>
        <w:ind w:left="1077"/>
        <w:contextualSpacing w:val="0"/>
        <w:rPr>
          <w:rFonts w:ascii="Arial" w:hAnsi="Arial" w:cs="Arial"/>
          <w:sz w:val="22"/>
          <w:szCs w:val="22"/>
        </w:rPr>
      </w:pPr>
      <w:r w:rsidRPr="000F4F8C">
        <w:rPr>
          <w:rFonts w:ascii="Arial" w:hAnsi="Arial" w:cs="Arial"/>
          <w:sz w:val="22"/>
          <w:szCs w:val="22"/>
        </w:rPr>
        <w:t>Secretaría Ejecutiva, y</w:t>
      </w:r>
    </w:p>
    <w:p w14:paraId="13CA46AE" w14:textId="02FF1116" w:rsidR="000C113F" w:rsidRPr="000F4F8C" w:rsidRDefault="000C113F" w:rsidP="00102728">
      <w:pPr>
        <w:pStyle w:val="Prrafodelista"/>
        <w:widowControl w:val="0"/>
        <w:numPr>
          <w:ilvl w:val="0"/>
          <w:numId w:val="2"/>
        </w:numPr>
        <w:spacing w:before="120" w:after="120"/>
        <w:ind w:left="1077"/>
        <w:contextualSpacing w:val="0"/>
        <w:rPr>
          <w:rFonts w:ascii="Arial" w:hAnsi="Arial" w:cs="Arial"/>
          <w:sz w:val="22"/>
          <w:szCs w:val="22"/>
        </w:rPr>
      </w:pPr>
      <w:r w:rsidRPr="000F4F8C">
        <w:rPr>
          <w:rFonts w:ascii="Arial" w:hAnsi="Arial" w:cs="Arial"/>
          <w:sz w:val="22"/>
          <w:szCs w:val="22"/>
        </w:rPr>
        <w:t>Órgano Técnico de Fiscalización.</w:t>
      </w:r>
    </w:p>
    <w:p w14:paraId="52063EE0"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 xml:space="preserve">Reforma Constitucional </w:t>
      </w:r>
    </w:p>
    <w:p w14:paraId="54A70405"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w:t>
      </w:r>
      <w:r w:rsidRPr="000F4F8C">
        <w:rPr>
          <w:rFonts w:ascii="Arial" w:hAnsi="Arial" w:cs="Arial"/>
          <w:sz w:val="22"/>
          <w:szCs w:val="22"/>
        </w:rPr>
        <w:lastRenderedPageBreak/>
        <w:t>de la fracción XXI del artículo 36, la fracción IV del artículo 39; el inciso b) de la fracción I del artículo 55; y el artículo 61; todos de la Constitución Local.  Dicha reforma entró en vigor el 17 de diciembre de 2024.</w:t>
      </w:r>
    </w:p>
    <w:p w14:paraId="26521C32"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37105E9D"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Inicio del Proceso Electoral Extraordinario</w:t>
      </w:r>
    </w:p>
    <w:p w14:paraId="0A0A8C93"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51BF8738"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Reforma a la Ley Electoral</w:t>
      </w:r>
    </w:p>
    <w:p w14:paraId="3BB34271"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3DF69E83" w14:textId="77777777" w:rsidR="007A6487" w:rsidRPr="000F4F8C" w:rsidRDefault="007A6487" w:rsidP="000F4F8C">
      <w:pPr>
        <w:pStyle w:val="Ttulo2"/>
        <w:spacing w:before="240"/>
        <w:rPr>
          <w:rFonts w:ascii="Arial" w:hAnsi="Arial" w:cs="Arial"/>
          <w:sz w:val="22"/>
          <w:szCs w:val="22"/>
        </w:rPr>
      </w:pPr>
      <w:r w:rsidRPr="000F4F8C">
        <w:rPr>
          <w:rFonts w:ascii="Arial" w:hAnsi="Arial" w:cs="Arial"/>
          <w:sz w:val="22"/>
          <w:szCs w:val="22"/>
        </w:rPr>
        <w:t xml:space="preserve">Integración de la Comisión </w:t>
      </w:r>
    </w:p>
    <w:p w14:paraId="392BE52D" w14:textId="77777777" w:rsidR="007A6487" w:rsidRPr="000F4F8C" w:rsidRDefault="007A6487" w:rsidP="000F4F8C">
      <w:pPr>
        <w:widowControl w:val="0"/>
        <w:rPr>
          <w:rFonts w:ascii="Arial" w:hAnsi="Arial" w:cs="Arial"/>
          <w:sz w:val="22"/>
          <w:szCs w:val="22"/>
        </w:rPr>
      </w:pPr>
      <w:r w:rsidRPr="000F4F8C">
        <w:rPr>
          <w:rFonts w:ascii="Arial" w:hAnsi="Arial" w:cs="Arial"/>
          <w:sz w:val="22"/>
          <w:szCs w:val="22"/>
        </w:rPr>
        <w:t xml:space="preserve">El 30 de enero de 2025, mediante acuerdo CE/2025/007, el Consejo Estatal constituyó, entre otras, la Comisión Temporal de Foros de Debates para el Proceso Electoral Extraordinario, la cual quedó integrada por el Consejero Electoral Mtro. Hernán González Sala y las Consejeras Electorales, Licda. Ángela Guadalupe Araujo Segura y Licda. Monserrat Martínez </w:t>
      </w:r>
      <w:proofErr w:type="spellStart"/>
      <w:r w:rsidRPr="000F4F8C">
        <w:rPr>
          <w:rFonts w:ascii="Arial" w:hAnsi="Arial" w:cs="Arial"/>
          <w:sz w:val="22"/>
          <w:szCs w:val="22"/>
        </w:rPr>
        <w:t>Beaurregard</w:t>
      </w:r>
      <w:proofErr w:type="spellEnd"/>
      <w:r w:rsidRPr="000F4F8C">
        <w:rPr>
          <w:rFonts w:ascii="Arial" w:hAnsi="Arial" w:cs="Arial"/>
          <w:sz w:val="22"/>
          <w:szCs w:val="22"/>
        </w:rPr>
        <w:t>, ésta última, Presidenta de la Comisión.</w:t>
      </w:r>
    </w:p>
    <w:p w14:paraId="5B6D3E0B" w14:textId="27A2E1BA" w:rsidR="00484C4B" w:rsidRPr="000F4F8C" w:rsidRDefault="00484C4B" w:rsidP="000F4F8C">
      <w:pPr>
        <w:pStyle w:val="Ttulo2"/>
        <w:widowControl w:val="0"/>
        <w:spacing w:before="240"/>
        <w:rPr>
          <w:rFonts w:ascii="Arial" w:hAnsi="Arial" w:cs="Arial"/>
          <w:sz w:val="22"/>
          <w:szCs w:val="22"/>
        </w:rPr>
      </w:pPr>
      <w:r w:rsidRPr="000F4F8C">
        <w:rPr>
          <w:rFonts w:ascii="Arial" w:hAnsi="Arial" w:cs="Arial"/>
          <w:sz w:val="22"/>
          <w:szCs w:val="22"/>
        </w:rPr>
        <w:t xml:space="preserve">Aprobación de los Lineamientos </w:t>
      </w:r>
    </w:p>
    <w:p w14:paraId="46F39EA1" w14:textId="1BE1E3DE" w:rsidR="00484C4B" w:rsidRPr="000F4F8C" w:rsidRDefault="00484C4B" w:rsidP="000F4F8C">
      <w:pPr>
        <w:widowControl w:val="0"/>
        <w:rPr>
          <w:rFonts w:ascii="Arial" w:hAnsi="Arial" w:cs="Arial"/>
          <w:sz w:val="22"/>
          <w:szCs w:val="22"/>
        </w:rPr>
      </w:pPr>
      <w:r w:rsidRPr="000F4F8C">
        <w:rPr>
          <w:rFonts w:ascii="Arial" w:hAnsi="Arial" w:cs="Arial"/>
          <w:sz w:val="22"/>
          <w:szCs w:val="22"/>
        </w:rPr>
        <w:t xml:space="preserve">El 4 de abril del presente año, mediante acuerdo CE/2025/042, el Consejo Estatal aprobó los Lineamientos, los cuales contienen las reglas básicas y por el que se establecen, de manera oportuna, los criterios, condiciones y reglas específicas a las que se sujetará la </w:t>
      </w:r>
      <w:r w:rsidRPr="000F4F8C">
        <w:rPr>
          <w:rFonts w:ascii="Arial" w:hAnsi="Arial" w:cs="Arial"/>
          <w:sz w:val="22"/>
          <w:szCs w:val="22"/>
        </w:rPr>
        <w:lastRenderedPageBreak/>
        <w:t>realización y desarrollo de los Foros de Debate.</w:t>
      </w:r>
    </w:p>
    <w:p w14:paraId="6708AD62" w14:textId="739289A5"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Jornada electoral</w:t>
      </w:r>
    </w:p>
    <w:p w14:paraId="52F07B9E"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61F5EB1B" w14:textId="77777777" w:rsidR="00D23E83" w:rsidRPr="000F4F8C" w:rsidRDefault="00D23E83" w:rsidP="000F4F8C">
      <w:pPr>
        <w:pStyle w:val="Ttulo2"/>
        <w:spacing w:before="240"/>
        <w:rPr>
          <w:rFonts w:ascii="Arial" w:hAnsi="Arial" w:cs="Arial"/>
          <w:sz w:val="22"/>
          <w:szCs w:val="22"/>
        </w:rPr>
      </w:pPr>
      <w:r w:rsidRPr="000F4F8C">
        <w:rPr>
          <w:rFonts w:ascii="Arial" w:hAnsi="Arial" w:cs="Arial"/>
          <w:sz w:val="22"/>
          <w:szCs w:val="22"/>
        </w:rPr>
        <w:t>Presentación de la propuesta</w:t>
      </w:r>
    </w:p>
    <w:p w14:paraId="32494BFE" w14:textId="2050A303" w:rsidR="00D23E83" w:rsidRPr="000F4F8C" w:rsidRDefault="00D23E83" w:rsidP="000F4F8C">
      <w:pPr>
        <w:widowControl w:val="0"/>
        <w:rPr>
          <w:rFonts w:ascii="Arial" w:hAnsi="Arial" w:cs="Arial"/>
          <w:sz w:val="22"/>
          <w:szCs w:val="22"/>
        </w:rPr>
      </w:pPr>
      <w:r w:rsidRPr="000F4F8C">
        <w:rPr>
          <w:rFonts w:ascii="Arial" w:hAnsi="Arial" w:cs="Arial"/>
          <w:sz w:val="22"/>
          <w:szCs w:val="22"/>
        </w:rPr>
        <w:t xml:space="preserve">El 9 de mayo de 2025, la Secretaria Técnica de la Comisión remitió a la Presidencia del Consejo, la propuesta </w:t>
      </w:r>
      <w:r w:rsidR="002D16F1" w:rsidRPr="000F4F8C">
        <w:rPr>
          <w:rFonts w:ascii="Arial" w:hAnsi="Arial" w:cs="Arial"/>
          <w:sz w:val="22"/>
          <w:szCs w:val="22"/>
        </w:rPr>
        <w:t>relativa al número de foros de debates a realizar, el calendario y candidaturas participantes de las Magistraturas del Tribunal de Disciplina Judicial y del Tribunal Superior de Justicia, con motivo del Proceso Electoral Extraordinario</w:t>
      </w:r>
      <w:r w:rsidRPr="000F4F8C">
        <w:rPr>
          <w:rFonts w:ascii="Arial" w:hAnsi="Arial" w:cs="Arial"/>
          <w:sz w:val="22"/>
          <w:szCs w:val="22"/>
        </w:rPr>
        <w:t>, formulada por dicha Comisión; lo anterior, para efectos de someterlo a la deliberación de este Consejo Estatal.</w:t>
      </w:r>
    </w:p>
    <w:p w14:paraId="6EC32F44" w14:textId="77777777" w:rsidR="000C113F" w:rsidRPr="00102728" w:rsidRDefault="000C113F" w:rsidP="00102728">
      <w:pPr>
        <w:pStyle w:val="Ttulo1"/>
        <w:widowControl w:val="0"/>
        <w:spacing w:before="360"/>
        <w:ind w:left="431" w:hanging="431"/>
        <w:rPr>
          <w:rFonts w:ascii="Arial" w:hAnsi="Arial" w:cs="Arial"/>
          <w:sz w:val="24"/>
          <w:szCs w:val="22"/>
        </w:rPr>
      </w:pPr>
      <w:r w:rsidRPr="00102728">
        <w:rPr>
          <w:rFonts w:ascii="Arial" w:hAnsi="Arial" w:cs="Arial"/>
          <w:sz w:val="24"/>
          <w:szCs w:val="22"/>
        </w:rPr>
        <w:t>Considerando</w:t>
      </w:r>
    </w:p>
    <w:p w14:paraId="50F93FDC"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 xml:space="preserve">Competencia del Consejo Estatal </w:t>
      </w:r>
    </w:p>
    <w:p w14:paraId="0513B404"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Que, de conformidad con los artículos 115 numeral 1, fracción XL, 393 numeral 1, fracción VI de la Ley Electoral, el Consejo Estatal es competente para organizar el proceso electivo de las personas juzgadoras, su jornada electoral y los cómputos de los resultados electorales, en los términos que determine la Ley General y dicha Ley, así como organizar y desarrollar, en su caso, foros de debate entre las personas candidatas y establecer las bases para que las instituciones del sector público, privado o social puedan brindar dichos espacios de manera gratuita, vigilando su adecuado desarrollo y la participación de las personas candidatas que lo deseen en condiciones de equidad.</w:t>
      </w:r>
    </w:p>
    <w:p w14:paraId="5FEDAFCE"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w:t>
      </w:r>
    </w:p>
    <w:p w14:paraId="3C7E4E13"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lastRenderedPageBreak/>
        <w:t>Órganos auxiliares del Consejo Estatal</w:t>
      </w:r>
    </w:p>
    <w:p w14:paraId="5485F961"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14:paraId="32BCED35"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14:paraId="14E4E478"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Atribuciones de la Comisión</w:t>
      </w:r>
    </w:p>
    <w:p w14:paraId="2C1D9DBF"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Que, de conformidad con lo previsto por los artículos 113 numerales 1 y 3 de la Ley Electoral; 11, numeral 1, fracción I, 12 numeral 1 fracción I y 17 numeral 3 del Reglamento de Comisiones y acorde a lo señalado en el acuerdo CE/2025/07, la Comisión tiene como objetivo planificar las actividades y desarrollar la propuesta de directrices, reglas y criterios a los que estarán sujetos los debates en cualquiera de sus modalidades, los cuales serán aprobados por el Consejo Estatal, para ello, podrá emitir los acuerdos necesarios para el cumplimiento de sus atribuciones.</w:t>
      </w:r>
    </w:p>
    <w:p w14:paraId="07396D2D"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Proceso electoral de las personas juzgadoras</w:t>
      </w:r>
    </w:p>
    <w:p w14:paraId="411E0115"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371C6323"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Etapas del proceso electoral de las personas juzgadoras</w:t>
      </w:r>
    </w:p>
    <w:p w14:paraId="57140DC1"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Que, el artículo 387 numeral 1 de la Ley Electoral establece que, el proceso de elección de las personas juzgadoras del Poder Judicial comprende las siguientes etapas:</w:t>
      </w:r>
    </w:p>
    <w:p w14:paraId="37608F5D" w14:textId="601464F3" w:rsidR="000C113F" w:rsidRPr="000F4F8C" w:rsidRDefault="000C113F" w:rsidP="00102728">
      <w:pPr>
        <w:pStyle w:val="Prrafodelista"/>
        <w:widowControl w:val="0"/>
        <w:numPr>
          <w:ilvl w:val="0"/>
          <w:numId w:val="4"/>
        </w:numPr>
        <w:spacing w:before="120" w:after="120"/>
        <w:ind w:left="1060" w:hanging="703"/>
        <w:contextualSpacing w:val="0"/>
        <w:rPr>
          <w:rFonts w:ascii="Arial" w:hAnsi="Arial" w:cs="Arial"/>
          <w:sz w:val="22"/>
          <w:szCs w:val="22"/>
        </w:rPr>
      </w:pPr>
      <w:r w:rsidRPr="000F4F8C">
        <w:rPr>
          <w:rFonts w:ascii="Arial" w:hAnsi="Arial" w:cs="Arial"/>
          <w:sz w:val="22"/>
          <w:szCs w:val="22"/>
        </w:rPr>
        <w:t>Preparación de la elección;</w:t>
      </w:r>
    </w:p>
    <w:p w14:paraId="0E68ABFE" w14:textId="75A020C8" w:rsidR="000C113F" w:rsidRPr="000F4F8C" w:rsidRDefault="000C113F" w:rsidP="00102728">
      <w:pPr>
        <w:pStyle w:val="Prrafodelista"/>
        <w:widowControl w:val="0"/>
        <w:numPr>
          <w:ilvl w:val="0"/>
          <w:numId w:val="4"/>
        </w:numPr>
        <w:spacing w:before="120" w:after="120"/>
        <w:ind w:left="1060" w:hanging="703"/>
        <w:contextualSpacing w:val="0"/>
        <w:rPr>
          <w:rFonts w:ascii="Arial" w:hAnsi="Arial" w:cs="Arial"/>
          <w:sz w:val="22"/>
          <w:szCs w:val="22"/>
        </w:rPr>
      </w:pPr>
      <w:r w:rsidRPr="000F4F8C">
        <w:rPr>
          <w:rFonts w:ascii="Arial" w:hAnsi="Arial" w:cs="Arial"/>
          <w:sz w:val="22"/>
          <w:szCs w:val="22"/>
        </w:rPr>
        <w:t>Convocatoria y postulación de candidaturas;</w:t>
      </w:r>
    </w:p>
    <w:p w14:paraId="609AF481" w14:textId="32C1AE10" w:rsidR="000C113F" w:rsidRPr="000F4F8C" w:rsidRDefault="000C113F" w:rsidP="00102728">
      <w:pPr>
        <w:pStyle w:val="Prrafodelista"/>
        <w:widowControl w:val="0"/>
        <w:numPr>
          <w:ilvl w:val="0"/>
          <w:numId w:val="4"/>
        </w:numPr>
        <w:spacing w:before="120" w:after="120"/>
        <w:ind w:left="1060" w:hanging="703"/>
        <w:contextualSpacing w:val="0"/>
        <w:rPr>
          <w:rFonts w:ascii="Arial" w:hAnsi="Arial" w:cs="Arial"/>
          <w:sz w:val="22"/>
          <w:szCs w:val="22"/>
        </w:rPr>
      </w:pPr>
      <w:r w:rsidRPr="000F4F8C">
        <w:rPr>
          <w:rFonts w:ascii="Arial" w:hAnsi="Arial" w:cs="Arial"/>
          <w:sz w:val="22"/>
          <w:szCs w:val="22"/>
        </w:rPr>
        <w:lastRenderedPageBreak/>
        <w:t>Jornada electoral;</w:t>
      </w:r>
    </w:p>
    <w:p w14:paraId="33A2F2C6" w14:textId="38499C5C" w:rsidR="000C113F" w:rsidRPr="000F4F8C" w:rsidRDefault="000C113F" w:rsidP="00102728">
      <w:pPr>
        <w:pStyle w:val="Prrafodelista"/>
        <w:widowControl w:val="0"/>
        <w:numPr>
          <w:ilvl w:val="0"/>
          <w:numId w:val="4"/>
        </w:numPr>
        <w:spacing w:before="120" w:after="120"/>
        <w:ind w:left="1060" w:hanging="703"/>
        <w:contextualSpacing w:val="0"/>
        <w:rPr>
          <w:rFonts w:ascii="Arial" w:hAnsi="Arial" w:cs="Arial"/>
          <w:sz w:val="22"/>
          <w:szCs w:val="22"/>
        </w:rPr>
      </w:pPr>
      <w:r w:rsidRPr="000F4F8C">
        <w:rPr>
          <w:rFonts w:ascii="Arial" w:hAnsi="Arial" w:cs="Arial"/>
          <w:sz w:val="22"/>
          <w:szCs w:val="22"/>
        </w:rPr>
        <w:t>Cómputos y sumatoria;</w:t>
      </w:r>
    </w:p>
    <w:p w14:paraId="0D485DB7" w14:textId="134AA819" w:rsidR="000C113F" w:rsidRPr="000F4F8C" w:rsidRDefault="000C113F" w:rsidP="00102728">
      <w:pPr>
        <w:pStyle w:val="Prrafodelista"/>
        <w:widowControl w:val="0"/>
        <w:numPr>
          <w:ilvl w:val="0"/>
          <w:numId w:val="4"/>
        </w:numPr>
        <w:spacing w:before="120" w:after="120"/>
        <w:ind w:left="1060" w:hanging="703"/>
        <w:contextualSpacing w:val="0"/>
        <w:rPr>
          <w:rFonts w:ascii="Arial" w:hAnsi="Arial" w:cs="Arial"/>
          <w:sz w:val="22"/>
          <w:szCs w:val="22"/>
        </w:rPr>
      </w:pPr>
      <w:r w:rsidRPr="000F4F8C">
        <w:rPr>
          <w:rFonts w:ascii="Arial" w:hAnsi="Arial" w:cs="Arial"/>
          <w:sz w:val="22"/>
          <w:szCs w:val="22"/>
        </w:rPr>
        <w:t>Asignación de cargos, y</w:t>
      </w:r>
    </w:p>
    <w:p w14:paraId="2C3FE968" w14:textId="210F3749" w:rsidR="000C113F" w:rsidRPr="000F4F8C" w:rsidRDefault="000C113F" w:rsidP="00102728">
      <w:pPr>
        <w:pStyle w:val="Prrafodelista"/>
        <w:widowControl w:val="0"/>
        <w:numPr>
          <w:ilvl w:val="0"/>
          <w:numId w:val="4"/>
        </w:numPr>
        <w:spacing w:before="120" w:after="120"/>
        <w:ind w:left="1060" w:hanging="703"/>
        <w:contextualSpacing w:val="0"/>
        <w:rPr>
          <w:rFonts w:ascii="Arial" w:hAnsi="Arial" w:cs="Arial"/>
          <w:sz w:val="22"/>
          <w:szCs w:val="22"/>
        </w:rPr>
      </w:pPr>
      <w:r w:rsidRPr="000F4F8C">
        <w:rPr>
          <w:rFonts w:ascii="Arial" w:hAnsi="Arial" w:cs="Arial"/>
          <w:sz w:val="22"/>
          <w:szCs w:val="22"/>
        </w:rPr>
        <w:t>La entrega de constancias de mayoría y declaración de validez de la elección.</w:t>
      </w:r>
    </w:p>
    <w:p w14:paraId="2AEA0FE7"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7070D194"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3325119A"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En el caso de la jornada electoral, ésta inicia a las 8:00 horas del primer domingo de junio del año que corresponda y concluye con el cómputo de los votos en casilla, de conformidad con el numeral 4 del artículo 387 de la Ley Electoral.</w:t>
      </w:r>
    </w:p>
    <w:p w14:paraId="30211E15"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018BDD01"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6DAA2CE0"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34889273"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Derecho de la ciudadanía a participar en los procesos de selección y evaluación de candidaturas</w:t>
      </w:r>
    </w:p>
    <w:p w14:paraId="76671B91"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 xml:space="preserve">Que, de conformidad con el artículo 389 numeral 1 de la Ley Electoral, es derecho de la </w:t>
      </w:r>
      <w:r w:rsidRPr="000F4F8C">
        <w:rPr>
          <w:rFonts w:ascii="Arial" w:hAnsi="Arial" w:cs="Arial"/>
          <w:sz w:val="22"/>
          <w:szCs w:val="22"/>
        </w:rPr>
        <w:lastRenderedPageBreak/>
        <w:t>ciudadanía participar en igualdad de condiciones en los procesos de evaluación y selección de candidaturas para todos los cargos de elección del Poder Judicial. Dichos procesos serán públicos, abiertos, transparentes, inclusivos, accesibles y deberán garantizar la participación de todas las personas interesadas que cumplan con los requisitos, condiciones y términos que determine la Constitución Federal, la Constitución Local y la propia Ley Electoral.</w:t>
      </w:r>
    </w:p>
    <w:p w14:paraId="6C99890D"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Cargos por elegir en el Proceso Electoral Extraordinario</w:t>
      </w:r>
    </w:p>
    <w:p w14:paraId="592BAFD5"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De acuerdo con el Segundo Transitorio del Decreto 080 constitucional, en el Proceso Electoral Extraordinario se elegirán a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p>
    <w:p w14:paraId="7C055ECF"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En ese sentido, para el Proceso Electoral Extraordinario se elegirán 72 cargos de elección, distribuidos de acuerdo con la siguiente forma y especialidad:</w:t>
      </w:r>
    </w:p>
    <w:p w14:paraId="751322A2" w14:textId="1781182B" w:rsidR="000C113F" w:rsidRPr="000F4F8C" w:rsidRDefault="000C113F" w:rsidP="00102728">
      <w:pPr>
        <w:pStyle w:val="Prrafodelista"/>
        <w:widowControl w:val="0"/>
        <w:numPr>
          <w:ilvl w:val="0"/>
          <w:numId w:val="6"/>
        </w:numPr>
        <w:spacing w:before="120" w:after="120"/>
        <w:ind w:left="1060" w:hanging="703"/>
        <w:contextualSpacing w:val="0"/>
        <w:rPr>
          <w:rFonts w:ascii="Arial" w:hAnsi="Arial" w:cs="Arial"/>
          <w:sz w:val="22"/>
          <w:szCs w:val="22"/>
        </w:rPr>
      </w:pPr>
      <w:r w:rsidRPr="000F4F8C">
        <w:rPr>
          <w:rFonts w:ascii="Arial" w:hAnsi="Arial" w:cs="Arial"/>
          <w:sz w:val="22"/>
          <w:szCs w:val="22"/>
        </w:rPr>
        <w:t>5 Magistraturas del Tribunal de Disciplina Judicial;</w:t>
      </w:r>
    </w:p>
    <w:p w14:paraId="7A248F5E" w14:textId="1A12BD4D" w:rsidR="000C113F" w:rsidRPr="000F4F8C" w:rsidRDefault="000C113F" w:rsidP="00102728">
      <w:pPr>
        <w:pStyle w:val="Prrafodelista"/>
        <w:widowControl w:val="0"/>
        <w:numPr>
          <w:ilvl w:val="0"/>
          <w:numId w:val="6"/>
        </w:numPr>
        <w:spacing w:before="120" w:after="120"/>
        <w:ind w:left="1060" w:hanging="703"/>
        <w:contextualSpacing w:val="0"/>
        <w:rPr>
          <w:rFonts w:ascii="Arial" w:hAnsi="Arial" w:cs="Arial"/>
          <w:sz w:val="22"/>
          <w:szCs w:val="22"/>
        </w:rPr>
      </w:pPr>
      <w:r w:rsidRPr="000F4F8C">
        <w:rPr>
          <w:rFonts w:ascii="Arial" w:hAnsi="Arial" w:cs="Arial"/>
          <w:sz w:val="22"/>
          <w:szCs w:val="22"/>
        </w:rPr>
        <w:t>12 Magistraturas del Pleno del Tribunal Superior de Justicia;</w:t>
      </w:r>
    </w:p>
    <w:p w14:paraId="679D065A" w14:textId="13C9CD8B" w:rsidR="000C113F" w:rsidRPr="000F4F8C" w:rsidRDefault="000C113F" w:rsidP="00102728">
      <w:pPr>
        <w:pStyle w:val="Prrafodelista"/>
        <w:widowControl w:val="0"/>
        <w:numPr>
          <w:ilvl w:val="0"/>
          <w:numId w:val="6"/>
        </w:numPr>
        <w:spacing w:before="120" w:after="120"/>
        <w:ind w:left="1060" w:hanging="703"/>
        <w:contextualSpacing w:val="0"/>
        <w:rPr>
          <w:rFonts w:ascii="Arial" w:hAnsi="Arial" w:cs="Arial"/>
          <w:sz w:val="22"/>
          <w:szCs w:val="22"/>
        </w:rPr>
      </w:pPr>
      <w:r w:rsidRPr="000F4F8C">
        <w:rPr>
          <w:rFonts w:ascii="Arial" w:hAnsi="Arial" w:cs="Arial"/>
          <w:sz w:val="22"/>
          <w:szCs w:val="22"/>
        </w:rPr>
        <w:t>19 juezas y jueces civiles;</w:t>
      </w:r>
    </w:p>
    <w:p w14:paraId="0E09989E" w14:textId="3C6CA72A" w:rsidR="000C113F" w:rsidRPr="000F4F8C" w:rsidRDefault="000C113F" w:rsidP="00102728">
      <w:pPr>
        <w:pStyle w:val="Prrafodelista"/>
        <w:widowControl w:val="0"/>
        <w:numPr>
          <w:ilvl w:val="0"/>
          <w:numId w:val="6"/>
        </w:numPr>
        <w:spacing w:before="120" w:after="120"/>
        <w:ind w:left="1060" w:hanging="703"/>
        <w:contextualSpacing w:val="0"/>
        <w:rPr>
          <w:rFonts w:ascii="Arial" w:hAnsi="Arial" w:cs="Arial"/>
          <w:sz w:val="22"/>
          <w:szCs w:val="22"/>
        </w:rPr>
      </w:pPr>
      <w:r w:rsidRPr="000F4F8C">
        <w:rPr>
          <w:rFonts w:ascii="Arial" w:hAnsi="Arial" w:cs="Arial"/>
          <w:sz w:val="22"/>
          <w:szCs w:val="22"/>
        </w:rPr>
        <w:t>27 juezas y jueces en materia de oralidad penal;</w:t>
      </w:r>
    </w:p>
    <w:p w14:paraId="2130AAC9" w14:textId="0B9EECA6" w:rsidR="000C113F" w:rsidRPr="000F4F8C" w:rsidRDefault="000C113F" w:rsidP="00102728">
      <w:pPr>
        <w:pStyle w:val="Prrafodelista"/>
        <w:widowControl w:val="0"/>
        <w:numPr>
          <w:ilvl w:val="0"/>
          <w:numId w:val="6"/>
        </w:numPr>
        <w:spacing w:before="120" w:after="120"/>
        <w:ind w:left="1060" w:hanging="703"/>
        <w:contextualSpacing w:val="0"/>
        <w:rPr>
          <w:rFonts w:ascii="Arial" w:hAnsi="Arial" w:cs="Arial"/>
          <w:sz w:val="22"/>
          <w:szCs w:val="22"/>
        </w:rPr>
      </w:pPr>
      <w:r w:rsidRPr="000F4F8C">
        <w:rPr>
          <w:rFonts w:ascii="Arial" w:hAnsi="Arial" w:cs="Arial"/>
          <w:sz w:val="22"/>
          <w:szCs w:val="22"/>
        </w:rPr>
        <w:t>3 juezas y jueces en materia familiar;</w:t>
      </w:r>
    </w:p>
    <w:p w14:paraId="63149C23" w14:textId="5ED01BB9" w:rsidR="000C113F" w:rsidRPr="000F4F8C" w:rsidRDefault="000C113F" w:rsidP="00102728">
      <w:pPr>
        <w:pStyle w:val="Prrafodelista"/>
        <w:widowControl w:val="0"/>
        <w:numPr>
          <w:ilvl w:val="0"/>
          <w:numId w:val="6"/>
        </w:numPr>
        <w:spacing w:before="120" w:after="120"/>
        <w:ind w:left="1060" w:hanging="703"/>
        <w:contextualSpacing w:val="0"/>
        <w:rPr>
          <w:rFonts w:ascii="Arial" w:hAnsi="Arial" w:cs="Arial"/>
          <w:sz w:val="22"/>
          <w:szCs w:val="22"/>
        </w:rPr>
      </w:pPr>
      <w:r w:rsidRPr="000F4F8C">
        <w:rPr>
          <w:rFonts w:ascii="Arial" w:hAnsi="Arial" w:cs="Arial"/>
          <w:sz w:val="22"/>
          <w:szCs w:val="22"/>
        </w:rPr>
        <w:t>1 jueza o juez en materia de oralidad mercantil; y</w:t>
      </w:r>
    </w:p>
    <w:p w14:paraId="28B6D09E" w14:textId="04EB777B" w:rsidR="000C113F" w:rsidRPr="000F4F8C" w:rsidRDefault="000C113F" w:rsidP="00102728">
      <w:pPr>
        <w:pStyle w:val="Prrafodelista"/>
        <w:widowControl w:val="0"/>
        <w:numPr>
          <w:ilvl w:val="0"/>
          <w:numId w:val="6"/>
        </w:numPr>
        <w:spacing w:before="120" w:after="120"/>
        <w:ind w:left="1060" w:hanging="703"/>
        <w:contextualSpacing w:val="0"/>
        <w:rPr>
          <w:rFonts w:ascii="Arial" w:hAnsi="Arial" w:cs="Arial"/>
          <w:sz w:val="22"/>
          <w:szCs w:val="22"/>
        </w:rPr>
      </w:pPr>
      <w:r w:rsidRPr="000F4F8C">
        <w:rPr>
          <w:rFonts w:ascii="Arial" w:hAnsi="Arial" w:cs="Arial"/>
          <w:sz w:val="22"/>
          <w:szCs w:val="22"/>
        </w:rPr>
        <w:t>5 juezas y jueces en materia laboral.</w:t>
      </w:r>
    </w:p>
    <w:p w14:paraId="1FE2F6F4" w14:textId="52A3F59B" w:rsidR="00E94D5B" w:rsidRPr="000F4F8C" w:rsidRDefault="00E94D5B" w:rsidP="000F4F8C">
      <w:pPr>
        <w:pStyle w:val="Ttulo2"/>
        <w:spacing w:before="240"/>
        <w:rPr>
          <w:rFonts w:ascii="Arial" w:hAnsi="Arial" w:cs="Arial"/>
          <w:sz w:val="22"/>
          <w:szCs w:val="22"/>
        </w:rPr>
      </w:pPr>
      <w:r w:rsidRPr="000F4F8C">
        <w:rPr>
          <w:rFonts w:ascii="Arial" w:hAnsi="Arial" w:cs="Arial"/>
          <w:sz w:val="22"/>
          <w:szCs w:val="22"/>
        </w:rPr>
        <w:t>Periodo de campañas</w:t>
      </w:r>
    </w:p>
    <w:p w14:paraId="6128A689" w14:textId="53AADFC3" w:rsidR="00E94D5B" w:rsidRPr="000F4F8C" w:rsidRDefault="00E94D5B" w:rsidP="000F4F8C">
      <w:pPr>
        <w:rPr>
          <w:rFonts w:ascii="Arial" w:hAnsi="Arial" w:cs="Arial"/>
          <w:sz w:val="22"/>
          <w:szCs w:val="22"/>
        </w:rPr>
      </w:pPr>
      <w:r w:rsidRPr="000F4F8C">
        <w:rPr>
          <w:rFonts w:ascii="Arial" w:hAnsi="Arial" w:cs="Arial"/>
          <w:sz w:val="22"/>
          <w:szCs w:val="22"/>
        </w:rPr>
        <w:t>Que, de conformidad con el Calendario Electoral, aprobado mediante acuerdo CE/2025/021, para el Proceso Electoral Extraordinario, las campañas se llevan a cabo del 29 de abril al 28 de mayo del presente año.</w:t>
      </w:r>
    </w:p>
    <w:p w14:paraId="47A18BE9" w14:textId="76C9EA02" w:rsidR="00E94D5B" w:rsidRPr="000F4F8C" w:rsidRDefault="00E94D5B" w:rsidP="000F4F8C">
      <w:pPr>
        <w:rPr>
          <w:rFonts w:ascii="Arial" w:hAnsi="Arial" w:cs="Arial"/>
          <w:sz w:val="22"/>
          <w:szCs w:val="22"/>
        </w:rPr>
      </w:pPr>
      <w:r w:rsidRPr="000F4F8C">
        <w:rPr>
          <w:rFonts w:ascii="Arial" w:hAnsi="Arial" w:cs="Arial"/>
          <w:sz w:val="22"/>
          <w:szCs w:val="22"/>
        </w:rPr>
        <w:t>Asimismo, en términos del artículo 407 numeral 1 de la Ley Electoral, las personas candidatas podrán participar durante el periodo de campañas en entrevistas de carácter noticioso y foros de debate organizados y brindados gratuitamente por el sector público, privado o social en condiciones de equidad, observando al efecto las directrices y acuerdos que al efecto emitan el INE y la autoridad electoral local en el ámbito de su competencia, en observancia a lo dispuesto en esta Ley.</w:t>
      </w:r>
    </w:p>
    <w:p w14:paraId="086E1871" w14:textId="162C3D25"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lastRenderedPageBreak/>
        <w:t>Regulación de los debates</w:t>
      </w:r>
    </w:p>
    <w:p w14:paraId="02AC4EC4"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Que, de conformidad con el artículo 303 numeral 2 del Reglamento de Elecciones las disposiciones generales que regulan los debates podrán servir de base o criterios orientadores para los organismos electorales en la organización de debates que realicen entre las personas candidatas que participen en elecciones locales, siempre y cuando no contravengan lo que, en su caso, se establezca en sus legislaciones estatales.</w:t>
      </w:r>
    </w:p>
    <w:p w14:paraId="27567305" w14:textId="77777777" w:rsidR="000C113F" w:rsidRPr="000F4F8C" w:rsidRDefault="000C113F" w:rsidP="000F4F8C">
      <w:pPr>
        <w:pStyle w:val="Ttulo2"/>
        <w:widowControl w:val="0"/>
        <w:spacing w:before="240"/>
        <w:rPr>
          <w:rFonts w:ascii="Arial" w:hAnsi="Arial" w:cs="Arial"/>
          <w:sz w:val="22"/>
          <w:szCs w:val="22"/>
        </w:rPr>
      </w:pPr>
      <w:r w:rsidRPr="000F4F8C">
        <w:rPr>
          <w:rFonts w:ascii="Arial" w:hAnsi="Arial" w:cs="Arial"/>
          <w:sz w:val="22"/>
          <w:szCs w:val="22"/>
        </w:rPr>
        <w:t>Objetivo de los debates</w:t>
      </w:r>
    </w:p>
    <w:p w14:paraId="3A875B0A" w14:textId="77777777" w:rsidR="000C113F" w:rsidRPr="000F4F8C" w:rsidRDefault="000C113F" w:rsidP="000F4F8C">
      <w:pPr>
        <w:widowControl w:val="0"/>
        <w:rPr>
          <w:rFonts w:ascii="Arial" w:hAnsi="Arial" w:cs="Arial"/>
          <w:sz w:val="22"/>
          <w:szCs w:val="22"/>
        </w:rPr>
      </w:pPr>
      <w:r w:rsidRPr="000F4F8C">
        <w:rPr>
          <w:rFonts w:ascii="Arial" w:hAnsi="Arial" w:cs="Arial"/>
          <w:sz w:val="22"/>
          <w:szCs w:val="22"/>
        </w:rPr>
        <w:t>Que, de acuerdo con el artículo 304 numeral 1 del Reglamento de Elecciones, los debates tienen por objeto proporcionar a la sociedad la difusión y confrontación de las ideas, programas y plataformas electorales de las candidaturas, por lo que, en su celebración, se asegurará el más amplio ejercicio de la libertad de expresión, garantizando condiciones de equidad en el formato, trato igualitario y el concurso de quienes participan en ésta.</w:t>
      </w:r>
    </w:p>
    <w:p w14:paraId="31D9B3A3" w14:textId="79410B9B" w:rsidR="00476B30" w:rsidRPr="000F4F8C" w:rsidRDefault="00476B30" w:rsidP="000F4F8C">
      <w:pPr>
        <w:pStyle w:val="Ttulo2"/>
        <w:spacing w:before="240"/>
        <w:rPr>
          <w:rFonts w:ascii="Arial" w:hAnsi="Arial" w:cs="Arial"/>
          <w:sz w:val="22"/>
          <w:szCs w:val="22"/>
        </w:rPr>
      </w:pPr>
      <w:r w:rsidRPr="000F4F8C">
        <w:rPr>
          <w:rFonts w:ascii="Arial" w:hAnsi="Arial" w:cs="Arial"/>
          <w:sz w:val="22"/>
          <w:szCs w:val="22"/>
        </w:rPr>
        <w:t xml:space="preserve">Solicitudes para participar en </w:t>
      </w:r>
      <w:r w:rsidR="00CA1303" w:rsidRPr="000F4F8C">
        <w:rPr>
          <w:rFonts w:ascii="Arial" w:hAnsi="Arial" w:cs="Arial"/>
          <w:sz w:val="22"/>
          <w:szCs w:val="22"/>
        </w:rPr>
        <w:t xml:space="preserve">los </w:t>
      </w:r>
      <w:r w:rsidRPr="000F4F8C">
        <w:rPr>
          <w:rFonts w:ascii="Arial" w:hAnsi="Arial" w:cs="Arial"/>
          <w:sz w:val="22"/>
          <w:szCs w:val="22"/>
        </w:rPr>
        <w:t>foro</w:t>
      </w:r>
      <w:r w:rsidR="00CA1303" w:rsidRPr="000F4F8C">
        <w:rPr>
          <w:rFonts w:ascii="Arial" w:hAnsi="Arial" w:cs="Arial"/>
          <w:sz w:val="22"/>
          <w:szCs w:val="22"/>
        </w:rPr>
        <w:t>s</w:t>
      </w:r>
      <w:r w:rsidRPr="000F4F8C">
        <w:rPr>
          <w:rFonts w:ascii="Arial" w:hAnsi="Arial" w:cs="Arial"/>
          <w:sz w:val="22"/>
          <w:szCs w:val="22"/>
        </w:rPr>
        <w:t xml:space="preserve"> de debate</w:t>
      </w:r>
    </w:p>
    <w:p w14:paraId="3B0949B5" w14:textId="35138910" w:rsidR="00476B30" w:rsidRPr="000F4F8C" w:rsidRDefault="00476B30" w:rsidP="000F4F8C">
      <w:pPr>
        <w:widowControl w:val="0"/>
        <w:rPr>
          <w:rFonts w:ascii="Arial" w:hAnsi="Arial" w:cs="Arial"/>
          <w:sz w:val="22"/>
          <w:szCs w:val="22"/>
        </w:rPr>
      </w:pPr>
      <w:r w:rsidRPr="000F4F8C">
        <w:rPr>
          <w:rFonts w:ascii="Arial" w:hAnsi="Arial" w:cs="Arial"/>
          <w:sz w:val="22"/>
          <w:szCs w:val="22"/>
        </w:rPr>
        <w:t>Que, conforme al artículo 13 de los Lineamientos, del 29 de abril al 03 de mayo, la Comisión recibió las solicitudes por parte de las personas candidatas a Magistraturas del Tribunal de Disciplina Judicial y Tribunal Superior de Justicia del Poder Judicial del Estado de Tabasco, en las que manifestaron su intención de participar en los foros de debates públicos virtuales.</w:t>
      </w:r>
    </w:p>
    <w:p w14:paraId="629DC67F" w14:textId="1CB73D2E" w:rsidR="00CA1303" w:rsidRPr="000F4F8C" w:rsidRDefault="00476B30" w:rsidP="000F4F8C">
      <w:pPr>
        <w:widowControl w:val="0"/>
        <w:rPr>
          <w:rFonts w:ascii="Arial" w:hAnsi="Arial" w:cs="Arial"/>
          <w:sz w:val="22"/>
          <w:szCs w:val="22"/>
        </w:rPr>
      </w:pPr>
      <w:r w:rsidRPr="000F4F8C">
        <w:rPr>
          <w:rFonts w:ascii="Arial" w:hAnsi="Arial" w:cs="Arial"/>
          <w:sz w:val="22"/>
          <w:szCs w:val="22"/>
        </w:rPr>
        <w:t xml:space="preserve">En ese tenor, se recibieron tres solicitudes, </w:t>
      </w:r>
      <w:r w:rsidR="00CA1303" w:rsidRPr="000F4F8C">
        <w:rPr>
          <w:rFonts w:ascii="Arial" w:hAnsi="Arial" w:cs="Arial"/>
          <w:sz w:val="22"/>
          <w:szCs w:val="22"/>
        </w:rPr>
        <w:t>una relacionada con las Magistraturas Penales del Tribunal Superior de Justicia; y, dos para los cargos a Magistraturas del Tribunal de Disciplina Judicial.</w:t>
      </w:r>
    </w:p>
    <w:p w14:paraId="67A51E53" w14:textId="77777777" w:rsidR="00FB793D" w:rsidRPr="000F4F8C" w:rsidRDefault="00FB793D" w:rsidP="000F4F8C">
      <w:pPr>
        <w:widowControl w:val="0"/>
        <w:rPr>
          <w:rFonts w:ascii="Arial" w:hAnsi="Arial" w:cs="Arial"/>
          <w:sz w:val="22"/>
          <w:szCs w:val="22"/>
        </w:rPr>
      </w:pPr>
      <w:r w:rsidRPr="000F4F8C">
        <w:rPr>
          <w:rFonts w:ascii="Arial" w:hAnsi="Arial" w:cs="Arial"/>
          <w:sz w:val="22"/>
          <w:szCs w:val="22"/>
        </w:rPr>
        <w:t>Cabe señalar que, la solicitud es procedente cuando se reciban dos o más registros de peticiones provenientes de las personas candidatas a Magistraturas del Tribunal de Disciplina Judicial o, por materia, en el caso de personas candidatas a Magistraturas del Tribunal Superior de Justicia.</w:t>
      </w:r>
    </w:p>
    <w:p w14:paraId="30FA9C7D" w14:textId="47C5B925" w:rsidR="00CA1303" w:rsidRPr="000F4F8C" w:rsidRDefault="00CA1303" w:rsidP="000F4F8C">
      <w:pPr>
        <w:pStyle w:val="Ttulo2"/>
        <w:spacing w:before="240"/>
        <w:rPr>
          <w:rFonts w:ascii="Arial" w:hAnsi="Arial" w:cs="Arial"/>
          <w:sz w:val="22"/>
          <w:szCs w:val="22"/>
        </w:rPr>
      </w:pPr>
      <w:r w:rsidRPr="000F4F8C">
        <w:rPr>
          <w:rFonts w:ascii="Arial" w:hAnsi="Arial" w:cs="Arial"/>
          <w:sz w:val="22"/>
          <w:szCs w:val="22"/>
        </w:rPr>
        <w:t>Invitaciones para participar en los foros de debate</w:t>
      </w:r>
    </w:p>
    <w:p w14:paraId="787E5819" w14:textId="25255CDC" w:rsidR="00CA1303" w:rsidRPr="000F4F8C" w:rsidRDefault="00CA1303" w:rsidP="000F4F8C">
      <w:pPr>
        <w:widowControl w:val="0"/>
        <w:rPr>
          <w:rFonts w:ascii="Arial" w:hAnsi="Arial" w:cs="Arial"/>
          <w:sz w:val="22"/>
          <w:szCs w:val="22"/>
        </w:rPr>
      </w:pPr>
      <w:r w:rsidRPr="000F4F8C">
        <w:rPr>
          <w:rFonts w:ascii="Arial" w:hAnsi="Arial" w:cs="Arial"/>
          <w:sz w:val="22"/>
          <w:szCs w:val="22"/>
        </w:rPr>
        <w:t>Que, de acuerdo con el artículo 15 de los Lineamientos, los foros de debates se organizarán por cargo, materia de especialización y género, asegurando la equidad de condiciones, conforme al formato señalado en los propios Lineamientos; y, se llevarán a cabo cuando exista aceptación de al menos dos participantes. La participación será voluntaria, pero las candidaturas deberán confirmar su participación en los plazos y formas determinadas en los Lineamientos.</w:t>
      </w:r>
    </w:p>
    <w:p w14:paraId="2206BE7B" w14:textId="1F03A0F1" w:rsidR="00CA1303" w:rsidRPr="000F4F8C" w:rsidRDefault="00CA1303" w:rsidP="000F4F8C">
      <w:pPr>
        <w:widowControl w:val="0"/>
        <w:rPr>
          <w:rFonts w:ascii="Arial" w:hAnsi="Arial" w:cs="Arial"/>
          <w:sz w:val="22"/>
          <w:szCs w:val="22"/>
        </w:rPr>
      </w:pPr>
      <w:r w:rsidRPr="000F4F8C">
        <w:rPr>
          <w:rFonts w:ascii="Arial" w:hAnsi="Arial" w:cs="Arial"/>
          <w:sz w:val="22"/>
          <w:szCs w:val="22"/>
        </w:rPr>
        <w:lastRenderedPageBreak/>
        <w:t xml:space="preserve">En ese contexto, la Presidencia de la Comisión invitó vía correo electrónico a las demás candidaturas a los cargos de Magistraturas con el propósito de que, dentro de las 48 horas siguientes, aceptaran o declinaran participar en los foros de debate, conforme a lo establecido en el tercer párrafo del artículo 13 de los Lineamientos. </w:t>
      </w:r>
    </w:p>
    <w:p w14:paraId="547F7F36" w14:textId="1B4E6725" w:rsidR="00CA1303" w:rsidRPr="000F4F8C" w:rsidRDefault="00CA1303" w:rsidP="000F4F8C">
      <w:pPr>
        <w:widowControl w:val="0"/>
        <w:rPr>
          <w:rFonts w:ascii="Arial" w:hAnsi="Arial" w:cs="Arial"/>
          <w:sz w:val="22"/>
          <w:szCs w:val="22"/>
        </w:rPr>
      </w:pPr>
      <w:r w:rsidRPr="000F4F8C">
        <w:rPr>
          <w:rFonts w:ascii="Arial" w:hAnsi="Arial" w:cs="Arial"/>
          <w:sz w:val="22"/>
          <w:szCs w:val="22"/>
        </w:rPr>
        <w:t>Concluido el plazo mencionado, únicamente dos personas candidatas aceptaron participar en el Foro de Debate para Magistrados Penales del Tribunal Superior de Justicia y una para el de Magistradas del Tribunal de Disciplina Judicial.</w:t>
      </w:r>
    </w:p>
    <w:p w14:paraId="5550237E" w14:textId="7962DCC8" w:rsidR="00CA1303" w:rsidRPr="000F4F8C" w:rsidRDefault="00CA1303" w:rsidP="000F4F8C">
      <w:pPr>
        <w:widowControl w:val="0"/>
        <w:rPr>
          <w:rFonts w:ascii="Arial" w:hAnsi="Arial" w:cs="Arial"/>
          <w:sz w:val="22"/>
          <w:szCs w:val="22"/>
        </w:rPr>
      </w:pPr>
      <w:r w:rsidRPr="000F4F8C">
        <w:rPr>
          <w:rFonts w:ascii="Arial" w:hAnsi="Arial" w:cs="Arial"/>
          <w:sz w:val="22"/>
          <w:szCs w:val="22"/>
        </w:rPr>
        <w:t>De acuerdo con lo anterior y considerando el género de las personas, se formularon las siguientes solicitudes de participación: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1"/>
        <w:gridCol w:w="1061"/>
        <w:gridCol w:w="2291"/>
        <w:gridCol w:w="972"/>
        <w:gridCol w:w="1295"/>
        <w:gridCol w:w="1461"/>
        <w:gridCol w:w="1307"/>
      </w:tblGrid>
      <w:tr w:rsidR="00F66A8D" w:rsidRPr="00102728" w14:paraId="75EBC546" w14:textId="77777777" w:rsidTr="0027242E">
        <w:trPr>
          <w:trHeight w:val="850"/>
          <w:jc w:val="center"/>
        </w:trPr>
        <w:tc>
          <w:tcPr>
            <w:tcW w:w="250" w:type="pct"/>
            <w:shd w:val="clear" w:color="auto" w:fill="993366"/>
            <w:vAlign w:val="center"/>
          </w:tcPr>
          <w:p w14:paraId="0B3889C1" w14:textId="77777777" w:rsidR="00E66FDE" w:rsidRPr="00102728" w:rsidRDefault="00E66FDE" w:rsidP="00102728">
            <w:pPr>
              <w:spacing w:before="120" w:after="120"/>
              <w:jc w:val="center"/>
              <w:rPr>
                <w:rFonts w:ascii="Arial" w:eastAsia="Arial" w:hAnsi="Arial" w:cs="Arial"/>
                <w:b/>
                <w:color w:val="FFFFFF" w:themeColor="background1"/>
                <w:sz w:val="20"/>
                <w:szCs w:val="20"/>
              </w:rPr>
            </w:pPr>
            <w:r w:rsidRPr="00102728">
              <w:rPr>
                <w:rFonts w:ascii="Arial" w:eastAsia="Arial" w:hAnsi="Arial" w:cs="Arial"/>
                <w:b/>
                <w:color w:val="FFFFFF" w:themeColor="background1"/>
                <w:sz w:val="20"/>
                <w:szCs w:val="20"/>
              </w:rPr>
              <w:t>N°</w:t>
            </w:r>
          </w:p>
        </w:tc>
        <w:tc>
          <w:tcPr>
            <w:tcW w:w="601" w:type="pct"/>
            <w:shd w:val="clear" w:color="auto" w:fill="993366"/>
            <w:vAlign w:val="center"/>
          </w:tcPr>
          <w:p w14:paraId="130961D2" w14:textId="4FBCC7EB" w:rsidR="00E66FDE" w:rsidRPr="00102728" w:rsidRDefault="00E66FDE" w:rsidP="00102728">
            <w:pPr>
              <w:spacing w:before="120" w:after="120"/>
              <w:jc w:val="center"/>
              <w:rPr>
                <w:rFonts w:ascii="Arial" w:eastAsia="Arial" w:hAnsi="Arial" w:cs="Arial"/>
                <w:b/>
                <w:color w:val="FFFFFF" w:themeColor="background1"/>
                <w:sz w:val="20"/>
                <w:szCs w:val="20"/>
              </w:rPr>
            </w:pPr>
            <w:r w:rsidRPr="00102728">
              <w:rPr>
                <w:rFonts w:ascii="Arial" w:eastAsia="Arial" w:hAnsi="Arial" w:cs="Arial"/>
                <w:b/>
                <w:color w:val="FFFFFF" w:themeColor="background1"/>
                <w:sz w:val="20"/>
                <w:szCs w:val="20"/>
              </w:rPr>
              <w:t>Solicitud recibida</w:t>
            </w:r>
          </w:p>
        </w:tc>
        <w:tc>
          <w:tcPr>
            <w:tcW w:w="1298" w:type="pct"/>
            <w:shd w:val="clear" w:color="auto" w:fill="993366"/>
            <w:vAlign w:val="center"/>
          </w:tcPr>
          <w:p w14:paraId="69FA6B4F" w14:textId="14509178" w:rsidR="00E66FDE" w:rsidRPr="00102728" w:rsidRDefault="00E66FDE" w:rsidP="00102728">
            <w:pPr>
              <w:spacing w:before="120" w:after="120"/>
              <w:jc w:val="center"/>
              <w:rPr>
                <w:rFonts w:ascii="Arial" w:eastAsia="Arial" w:hAnsi="Arial" w:cs="Arial"/>
                <w:b/>
                <w:color w:val="FFFFFF" w:themeColor="background1"/>
                <w:sz w:val="20"/>
                <w:szCs w:val="20"/>
              </w:rPr>
            </w:pPr>
            <w:r w:rsidRPr="00102728">
              <w:rPr>
                <w:rFonts w:ascii="Arial" w:eastAsia="Arial" w:hAnsi="Arial" w:cs="Arial"/>
                <w:b/>
                <w:color w:val="FFFFFF" w:themeColor="background1"/>
                <w:sz w:val="20"/>
                <w:szCs w:val="20"/>
              </w:rPr>
              <w:t>Cargo / especialidad</w:t>
            </w:r>
          </w:p>
        </w:tc>
        <w:tc>
          <w:tcPr>
            <w:tcW w:w="551" w:type="pct"/>
            <w:shd w:val="clear" w:color="auto" w:fill="993366"/>
            <w:vAlign w:val="center"/>
          </w:tcPr>
          <w:p w14:paraId="46F3B47A" w14:textId="21D400D3" w:rsidR="00E66FDE" w:rsidRPr="00102728" w:rsidRDefault="00E66FDE" w:rsidP="00102728">
            <w:pPr>
              <w:spacing w:before="120" w:after="120"/>
              <w:jc w:val="center"/>
              <w:rPr>
                <w:rFonts w:ascii="Arial" w:eastAsia="Arial" w:hAnsi="Arial" w:cs="Arial"/>
                <w:b/>
                <w:color w:val="FFFFFF" w:themeColor="background1"/>
                <w:sz w:val="20"/>
                <w:szCs w:val="20"/>
              </w:rPr>
            </w:pPr>
            <w:r w:rsidRPr="00102728">
              <w:rPr>
                <w:rFonts w:ascii="Arial" w:eastAsia="Arial" w:hAnsi="Arial" w:cs="Arial"/>
                <w:b/>
                <w:color w:val="FFFFFF" w:themeColor="background1"/>
                <w:sz w:val="20"/>
                <w:szCs w:val="20"/>
              </w:rPr>
              <w:t>Género</w:t>
            </w:r>
          </w:p>
        </w:tc>
        <w:tc>
          <w:tcPr>
            <w:tcW w:w="733" w:type="pct"/>
            <w:shd w:val="clear" w:color="auto" w:fill="993366"/>
            <w:vAlign w:val="center"/>
          </w:tcPr>
          <w:p w14:paraId="0E5F930D" w14:textId="22FC3FF4" w:rsidR="00E66FDE" w:rsidRPr="00102728" w:rsidRDefault="00E66FDE" w:rsidP="00102728">
            <w:pPr>
              <w:spacing w:before="120" w:after="120"/>
              <w:jc w:val="center"/>
              <w:rPr>
                <w:rFonts w:ascii="Arial" w:eastAsia="Arial" w:hAnsi="Arial" w:cs="Arial"/>
                <w:b/>
                <w:color w:val="FFFFFF" w:themeColor="background1"/>
                <w:sz w:val="20"/>
                <w:szCs w:val="20"/>
              </w:rPr>
            </w:pPr>
            <w:r w:rsidRPr="00102728">
              <w:rPr>
                <w:rFonts w:ascii="Arial" w:eastAsia="Arial" w:hAnsi="Arial" w:cs="Arial"/>
                <w:b/>
                <w:color w:val="FFFFFF" w:themeColor="background1"/>
                <w:sz w:val="20"/>
                <w:szCs w:val="20"/>
              </w:rPr>
              <w:t>Aceptación</w:t>
            </w:r>
          </w:p>
        </w:tc>
        <w:tc>
          <w:tcPr>
            <w:tcW w:w="827" w:type="pct"/>
            <w:shd w:val="clear" w:color="auto" w:fill="993366"/>
            <w:vAlign w:val="center"/>
          </w:tcPr>
          <w:p w14:paraId="03990E54" w14:textId="0314D3BE" w:rsidR="00E66FDE" w:rsidRPr="00102728" w:rsidRDefault="00E66FDE" w:rsidP="00102728">
            <w:pPr>
              <w:spacing w:before="120" w:after="120"/>
              <w:ind w:right="-110"/>
              <w:jc w:val="center"/>
              <w:rPr>
                <w:rFonts w:ascii="Arial" w:eastAsia="Arial" w:hAnsi="Arial" w:cs="Arial"/>
                <w:b/>
                <w:color w:val="FFFFFF" w:themeColor="background1"/>
                <w:sz w:val="20"/>
                <w:szCs w:val="20"/>
              </w:rPr>
            </w:pPr>
            <w:r w:rsidRPr="00102728">
              <w:rPr>
                <w:rFonts w:ascii="Arial" w:eastAsia="Arial" w:hAnsi="Arial" w:cs="Arial"/>
                <w:b/>
                <w:color w:val="FFFFFF" w:themeColor="background1"/>
                <w:sz w:val="20"/>
                <w:szCs w:val="20"/>
              </w:rPr>
              <w:t>Total participantes</w:t>
            </w:r>
          </w:p>
        </w:tc>
        <w:tc>
          <w:tcPr>
            <w:tcW w:w="740" w:type="pct"/>
            <w:shd w:val="clear" w:color="auto" w:fill="993366"/>
            <w:vAlign w:val="center"/>
          </w:tcPr>
          <w:p w14:paraId="21C74D43" w14:textId="4D2DEDA4" w:rsidR="00E66FDE" w:rsidRPr="00102728" w:rsidRDefault="00E66FDE" w:rsidP="00102728">
            <w:pPr>
              <w:spacing w:before="120" w:after="120"/>
              <w:jc w:val="center"/>
              <w:rPr>
                <w:rFonts w:ascii="Arial" w:eastAsia="Arial" w:hAnsi="Arial" w:cs="Arial"/>
                <w:b/>
                <w:color w:val="FFFFFF" w:themeColor="background1"/>
                <w:sz w:val="20"/>
                <w:szCs w:val="20"/>
              </w:rPr>
            </w:pPr>
            <w:r w:rsidRPr="00102728">
              <w:rPr>
                <w:rFonts w:ascii="Arial" w:eastAsia="Arial" w:hAnsi="Arial" w:cs="Arial"/>
                <w:b/>
                <w:color w:val="FFFFFF" w:themeColor="background1"/>
                <w:sz w:val="20"/>
                <w:szCs w:val="20"/>
              </w:rPr>
              <w:t>Procedente</w:t>
            </w:r>
          </w:p>
        </w:tc>
      </w:tr>
      <w:tr w:rsidR="00F66A8D" w:rsidRPr="00102728" w14:paraId="78B657E8" w14:textId="77777777" w:rsidTr="0027242E">
        <w:trPr>
          <w:trHeight w:val="567"/>
          <w:jc w:val="center"/>
        </w:trPr>
        <w:tc>
          <w:tcPr>
            <w:tcW w:w="250" w:type="pct"/>
            <w:vAlign w:val="center"/>
          </w:tcPr>
          <w:p w14:paraId="70FC08A3"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1</w:t>
            </w:r>
          </w:p>
        </w:tc>
        <w:tc>
          <w:tcPr>
            <w:tcW w:w="601" w:type="pct"/>
            <w:vAlign w:val="center"/>
          </w:tcPr>
          <w:p w14:paraId="0FE438F3"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1</w:t>
            </w:r>
          </w:p>
        </w:tc>
        <w:tc>
          <w:tcPr>
            <w:tcW w:w="1298" w:type="pct"/>
            <w:vAlign w:val="center"/>
          </w:tcPr>
          <w:p w14:paraId="41696CC3" w14:textId="77777777" w:rsidR="00E66FDE" w:rsidRPr="00102728" w:rsidRDefault="00E66FDE" w:rsidP="00102728">
            <w:pPr>
              <w:spacing w:before="120" w:after="120"/>
              <w:jc w:val="left"/>
              <w:rPr>
                <w:rFonts w:ascii="Arial" w:eastAsia="Arial" w:hAnsi="Arial" w:cs="Arial"/>
                <w:b/>
                <w:sz w:val="20"/>
                <w:szCs w:val="20"/>
              </w:rPr>
            </w:pPr>
            <w:r w:rsidRPr="00102728">
              <w:rPr>
                <w:rFonts w:ascii="Arial" w:eastAsia="Arial" w:hAnsi="Arial" w:cs="Arial"/>
                <w:b/>
                <w:sz w:val="20"/>
                <w:szCs w:val="20"/>
              </w:rPr>
              <w:t xml:space="preserve">Magistratura </w:t>
            </w:r>
            <w:proofErr w:type="spellStart"/>
            <w:r w:rsidRPr="00102728">
              <w:rPr>
                <w:rFonts w:ascii="Arial" w:eastAsia="Arial" w:hAnsi="Arial" w:cs="Arial"/>
                <w:b/>
                <w:sz w:val="20"/>
                <w:szCs w:val="20"/>
              </w:rPr>
              <w:t>TDJ</w:t>
            </w:r>
            <w:proofErr w:type="spellEnd"/>
          </w:p>
        </w:tc>
        <w:tc>
          <w:tcPr>
            <w:tcW w:w="551" w:type="pct"/>
            <w:vAlign w:val="center"/>
          </w:tcPr>
          <w:p w14:paraId="047E4E4F" w14:textId="77777777" w:rsidR="00E66FDE" w:rsidRPr="00102728" w:rsidRDefault="00E66FDE" w:rsidP="00102728">
            <w:pPr>
              <w:spacing w:before="120" w:after="120"/>
              <w:jc w:val="left"/>
              <w:rPr>
                <w:rFonts w:ascii="Arial" w:eastAsia="Arial" w:hAnsi="Arial" w:cs="Arial"/>
                <w:b/>
                <w:sz w:val="20"/>
                <w:szCs w:val="20"/>
              </w:rPr>
            </w:pPr>
            <w:r w:rsidRPr="00102728">
              <w:rPr>
                <w:rFonts w:ascii="Arial" w:eastAsia="Arial" w:hAnsi="Arial" w:cs="Arial"/>
                <w:b/>
                <w:sz w:val="20"/>
                <w:szCs w:val="20"/>
              </w:rPr>
              <w:t>Hombre</w:t>
            </w:r>
          </w:p>
        </w:tc>
        <w:tc>
          <w:tcPr>
            <w:tcW w:w="733" w:type="pct"/>
            <w:vAlign w:val="center"/>
          </w:tcPr>
          <w:p w14:paraId="7C8EDB87"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0</w:t>
            </w:r>
          </w:p>
        </w:tc>
        <w:tc>
          <w:tcPr>
            <w:tcW w:w="827" w:type="pct"/>
            <w:vAlign w:val="center"/>
          </w:tcPr>
          <w:p w14:paraId="0F88B80A"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0</w:t>
            </w:r>
          </w:p>
        </w:tc>
        <w:tc>
          <w:tcPr>
            <w:tcW w:w="740" w:type="pct"/>
            <w:vAlign w:val="center"/>
          </w:tcPr>
          <w:p w14:paraId="0B0923FD" w14:textId="59756DE0"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No</w:t>
            </w:r>
          </w:p>
        </w:tc>
      </w:tr>
      <w:tr w:rsidR="00F66A8D" w:rsidRPr="00102728" w14:paraId="7AC39F9D" w14:textId="77777777" w:rsidTr="0027242E">
        <w:trPr>
          <w:trHeight w:val="567"/>
          <w:jc w:val="center"/>
        </w:trPr>
        <w:tc>
          <w:tcPr>
            <w:tcW w:w="250" w:type="pct"/>
            <w:vAlign w:val="center"/>
          </w:tcPr>
          <w:p w14:paraId="06574590"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2</w:t>
            </w:r>
          </w:p>
        </w:tc>
        <w:tc>
          <w:tcPr>
            <w:tcW w:w="601" w:type="pct"/>
            <w:vAlign w:val="center"/>
          </w:tcPr>
          <w:p w14:paraId="5D14568A"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1</w:t>
            </w:r>
          </w:p>
        </w:tc>
        <w:tc>
          <w:tcPr>
            <w:tcW w:w="1298" w:type="pct"/>
            <w:vAlign w:val="center"/>
          </w:tcPr>
          <w:p w14:paraId="7048D2EF" w14:textId="77777777" w:rsidR="00E66FDE" w:rsidRPr="00102728" w:rsidRDefault="00E66FDE" w:rsidP="00102728">
            <w:pPr>
              <w:spacing w:before="120" w:after="120"/>
              <w:jc w:val="left"/>
              <w:rPr>
                <w:rFonts w:ascii="Arial" w:eastAsia="Arial" w:hAnsi="Arial" w:cs="Arial"/>
                <w:b/>
                <w:sz w:val="20"/>
                <w:szCs w:val="20"/>
              </w:rPr>
            </w:pPr>
            <w:r w:rsidRPr="00102728">
              <w:rPr>
                <w:rFonts w:ascii="Arial" w:eastAsia="Arial" w:hAnsi="Arial" w:cs="Arial"/>
                <w:b/>
                <w:sz w:val="20"/>
                <w:szCs w:val="20"/>
              </w:rPr>
              <w:t xml:space="preserve">Magistratura </w:t>
            </w:r>
            <w:proofErr w:type="spellStart"/>
            <w:r w:rsidRPr="00102728">
              <w:rPr>
                <w:rFonts w:ascii="Arial" w:eastAsia="Arial" w:hAnsi="Arial" w:cs="Arial"/>
                <w:b/>
                <w:sz w:val="20"/>
                <w:szCs w:val="20"/>
              </w:rPr>
              <w:t>TDJ</w:t>
            </w:r>
            <w:proofErr w:type="spellEnd"/>
          </w:p>
        </w:tc>
        <w:tc>
          <w:tcPr>
            <w:tcW w:w="551" w:type="pct"/>
            <w:vAlign w:val="center"/>
          </w:tcPr>
          <w:p w14:paraId="34D0FCC2" w14:textId="77777777" w:rsidR="00E66FDE" w:rsidRPr="00102728" w:rsidRDefault="00E66FDE" w:rsidP="00102728">
            <w:pPr>
              <w:spacing w:before="120" w:after="120"/>
              <w:jc w:val="left"/>
              <w:rPr>
                <w:rFonts w:ascii="Arial" w:eastAsia="Arial" w:hAnsi="Arial" w:cs="Arial"/>
                <w:b/>
                <w:sz w:val="20"/>
                <w:szCs w:val="20"/>
              </w:rPr>
            </w:pPr>
            <w:r w:rsidRPr="00102728">
              <w:rPr>
                <w:rFonts w:ascii="Arial" w:eastAsia="Arial" w:hAnsi="Arial" w:cs="Arial"/>
                <w:b/>
                <w:sz w:val="20"/>
                <w:szCs w:val="20"/>
              </w:rPr>
              <w:t>Mujer</w:t>
            </w:r>
          </w:p>
        </w:tc>
        <w:tc>
          <w:tcPr>
            <w:tcW w:w="733" w:type="pct"/>
            <w:vAlign w:val="center"/>
          </w:tcPr>
          <w:p w14:paraId="507D6189"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1</w:t>
            </w:r>
          </w:p>
        </w:tc>
        <w:tc>
          <w:tcPr>
            <w:tcW w:w="827" w:type="pct"/>
            <w:vAlign w:val="center"/>
          </w:tcPr>
          <w:p w14:paraId="7513B469"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2</w:t>
            </w:r>
          </w:p>
        </w:tc>
        <w:tc>
          <w:tcPr>
            <w:tcW w:w="740" w:type="pct"/>
            <w:vAlign w:val="center"/>
          </w:tcPr>
          <w:p w14:paraId="0FFD12B7" w14:textId="2114FCEE"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Si</w:t>
            </w:r>
          </w:p>
        </w:tc>
      </w:tr>
      <w:tr w:rsidR="00F66A8D" w:rsidRPr="00102728" w14:paraId="59987F68" w14:textId="77777777" w:rsidTr="0027242E">
        <w:trPr>
          <w:trHeight w:val="850"/>
          <w:jc w:val="center"/>
        </w:trPr>
        <w:tc>
          <w:tcPr>
            <w:tcW w:w="250" w:type="pct"/>
            <w:vAlign w:val="center"/>
          </w:tcPr>
          <w:p w14:paraId="3DCF3F86"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3</w:t>
            </w:r>
          </w:p>
        </w:tc>
        <w:tc>
          <w:tcPr>
            <w:tcW w:w="601" w:type="pct"/>
            <w:vAlign w:val="center"/>
          </w:tcPr>
          <w:p w14:paraId="52C4CA53"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1</w:t>
            </w:r>
          </w:p>
        </w:tc>
        <w:tc>
          <w:tcPr>
            <w:tcW w:w="1298" w:type="pct"/>
            <w:vAlign w:val="center"/>
          </w:tcPr>
          <w:p w14:paraId="6292B967" w14:textId="5521F6D2" w:rsidR="00E66FDE" w:rsidRPr="00102728" w:rsidRDefault="00E66FDE" w:rsidP="00102728">
            <w:pPr>
              <w:spacing w:before="120" w:after="120"/>
              <w:jc w:val="left"/>
              <w:rPr>
                <w:rFonts w:ascii="Arial" w:eastAsia="Arial" w:hAnsi="Arial" w:cs="Arial"/>
                <w:b/>
                <w:spacing w:val="-6"/>
                <w:sz w:val="20"/>
                <w:szCs w:val="20"/>
              </w:rPr>
            </w:pPr>
            <w:r w:rsidRPr="00102728">
              <w:rPr>
                <w:rFonts w:ascii="Arial" w:eastAsia="Arial" w:hAnsi="Arial" w:cs="Arial"/>
                <w:b/>
                <w:spacing w:val="-6"/>
                <w:sz w:val="20"/>
                <w:szCs w:val="20"/>
              </w:rPr>
              <w:t xml:space="preserve">Magistratura </w:t>
            </w:r>
            <w:proofErr w:type="spellStart"/>
            <w:r w:rsidRPr="00102728">
              <w:rPr>
                <w:rFonts w:ascii="Arial" w:eastAsia="Arial" w:hAnsi="Arial" w:cs="Arial"/>
                <w:b/>
                <w:spacing w:val="-6"/>
                <w:sz w:val="20"/>
                <w:szCs w:val="20"/>
              </w:rPr>
              <w:t>TSJ</w:t>
            </w:r>
            <w:proofErr w:type="spellEnd"/>
            <w:r w:rsidRPr="00102728">
              <w:rPr>
                <w:rFonts w:ascii="Arial" w:eastAsia="Arial" w:hAnsi="Arial" w:cs="Arial"/>
                <w:b/>
                <w:spacing w:val="-6"/>
                <w:sz w:val="20"/>
                <w:szCs w:val="20"/>
              </w:rPr>
              <w:t xml:space="preserve"> / Materia </w:t>
            </w:r>
            <w:r w:rsidR="00F66A8D" w:rsidRPr="00102728">
              <w:rPr>
                <w:rFonts w:ascii="Arial" w:eastAsia="Arial" w:hAnsi="Arial" w:cs="Arial"/>
                <w:b/>
                <w:spacing w:val="-6"/>
                <w:sz w:val="20"/>
                <w:szCs w:val="20"/>
              </w:rPr>
              <w:t>P</w:t>
            </w:r>
            <w:r w:rsidRPr="00102728">
              <w:rPr>
                <w:rFonts w:ascii="Arial" w:eastAsia="Arial" w:hAnsi="Arial" w:cs="Arial"/>
                <w:b/>
                <w:spacing w:val="-6"/>
                <w:sz w:val="20"/>
                <w:szCs w:val="20"/>
              </w:rPr>
              <w:t>enal</w:t>
            </w:r>
          </w:p>
        </w:tc>
        <w:tc>
          <w:tcPr>
            <w:tcW w:w="551" w:type="pct"/>
            <w:vAlign w:val="center"/>
          </w:tcPr>
          <w:p w14:paraId="31DF89CC" w14:textId="77777777" w:rsidR="00E66FDE" w:rsidRPr="00102728" w:rsidRDefault="00E66FDE" w:rsidP="00102728">
            <w:pPr>
              <w:spacing w:before="120" w:after="120"/>
              <w:jc w:val="left"/>
              <w:rPr>
                <w:rFonts w:ascii="Arial" w:eastAsia="Arial" w:hAnsi="Arial" w:cs="Arial"/>
                <w:b/>
                <w:sz w:val="20"/>
                <w:szCs w:val="20"/>
              </w:rPr>
            </w:pPr>
            <w:r w:rsidRPr="00102728">
              <w:rPr>
                <w:rFonts w:ascii="Arial" w:eastAsia="Arial" w:hAnsi="Arial" w:cs="Arial"/>
                <w:b/>
                <w:sz w:val="20"/>
                <w:szCs w:val="20"/>
              </w:rPr>
              <w:t>Hombre</w:t>
            </w:r>
          </w:p>
        </w:tc>
        <w:tc>
          <w:tcPr>
            <w:tcW w:w="733" w:type="pct"/>
            <w:vAlign w:val="center"/>
          </w:tcPr>
          <w:p w14:paraId="67B627BB"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4</w:t>
            </w:r>
          </w:p>
        </w:tc>
        <w:tc>
          <w:tcPr>
            <w:tcW w:w="827" w:type="pct"/>
            <w:vAlign w:val="center"/>
          </w:tcPr>
          <w:p w14:paraId="521F1BDB" w14:textId="77777777"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5</w:t>
            </w:r>
          </w:p>
        </w:tc>
        <w:tc>
          <w:tcPr>
            <w:tcW w:w="740" w:type="pct"/>
            <w:vAlign w:val="center"/>
          </w:tcPr>
          <w:p w14:paraId="0E7C821E" w14:textId="27669338" w:rsidR="00E66FDE" w:rsidRPr="00102728" w:rsidRDefault="00E66FDE" w:rsidP="00102728">
            <w:pPr>
              <w:spacing w:before="120" w:after="120"/>
              <w:jc w:val="center"/>
              <w:rPr>
                <w:rFonts w:ascii="Arial" w:eastAsia="Arial" w:hAnsi="Arial" w:cs="Arial"/>
                <w:b/>
                <w:sz w:val="20"/>
                <w:szCs w:val="20"/>
              </w:rPr>
            </w:pPr>
            <w:r w:rsidRPr="00102728">
              <w:rPr>
                <w:rFonts w:ascii="Arial" w:eastAsia="Arial" w:hAnsi="Arial" w:cs="Arial"/>
                <w:b/>
                <w:sz w:val="20"/>
                <w:szCs w:val="20"/>
              </w:rPr>
              <w:t>Si</w:t>
            </w:r>
          </w:p>
        </w:tc>
      </w:tr>
    </w:tbl>
    <w:p w14:paraId="15434BCA" w14:textId="3A788A62" w:rsidR="00710A6E" w:rsidRPr="00102728" w:rsidRDefault="00710A6E" w:rsidP="00102728">
      <w:pPr>
        <w:pStyle w:val="Ttulo2"/>
        <w:spacing w:before="240"/>
        <w:rPr>
          <w:rFonts w:ascii="Arial" w:hAnsi="Arial" w:cs="Arial"/>
          <w:sz w:val="22"/>
        </w:rPr>
      </w:pPr>
      <w:r w:rsidRPr="00102728">
        <w:rPr>
          <w:rFonts w:ascii="Arial" w:hAnsi="Arial" w:cs="Arial"/>
          <w:sz w:val="22"/>
        </w:rPr>
        <w:t>Calendarización y participantes de los foros de debate públicos virtuales</w:t>
      </w:r>
    </w:p>
    <w:p w14:paraId="639F730F" w14:textId="0FAAB586" w:rsidR="00710A6E" w:rsidRPr="00102728" w:rsidRDefault="00710A6E" w:rsidP="00102728">
      <w:pPr>
        <w:rPr>
          <w:rFonts w:ascii="Arial" w:hAnsi="Arial" w:cs="Arial"/>
          <w:sz w:val="22"/>
        </w:rPr>
      </w:pPr>
      <w:r w:rsidRPr="00102728">
        <w:rPr>
          <w:rFonts w:ascii="Arial" w:hAnsi="Arial" w:cs="Arial"/>
          <w:sz w:val="22"/>
        </w:rPr>
        <w:t>Que, una vez concluido los plazos señalados en el considerando anterior y toda vez que al menos dos candidaturas manifestaron su aceptación a participar, la Comisión Temporal formuló el calendario con las fechas y horas en que se realizarán los foros de debates públicos virtuales, el cual se notificará a quienes participan, en términos del artículo 43 de los mencionados Lineamientos.</w:t>
      </w:r>
    </w:p>
    <w:p w14:paraId="3D887C0B" w14:textId="5352E7A1" w:rsidR="00710A6E" w:rsidRPr="00102728" w:rsidRDefault="00710A6E" w:rsidP="00102728">
      <w:pPr>
        <w:rPr>
          <w:rFonts w:ascii="Arial" w:hAnsi="Arial" w:cs="Arial"/>
          <w:sz w:val="22"/>
        </w:rPr>
      </w:pPr>
      <w:r w:rsidRPr="00102728">
        <w:rPr>
          <w:rFonts w:ascii="Arial" w:hAnsi="Arial" w:cs="Arial"/>
          <w:sz w:val="22"/>
        </w:rPr>
        <w:t>Es así como, el número de foros de debates se determinó por parte de la Comisión, en función del número de personas candidatas que manifestaron su interés en participar según el cargo, materia de especialización y género. Además, se consideró la viabilidad operativa, logística y la disponibilidad del personal institucional.</w:t>
      </w:r>
    </w:p>
    <w:p w14:paraId="32DA32C4" w14:textId="3C831824" w:rsidR="00F00A94" w:rsidRDefault="00F00A94" w:rsidP="00102728">
      <w:pPr>
        <w:rPr>
          <w:rFonts w:ascii="Arial" w:hAnsi="Arial" w:cs="Arial"/>
          <w:sz w:val="22"/>
        </w:rPr>
      </w:pPr>
      <w:r w:rsidRPr="00102728">
        <w:rPr>
          <w:rFonts w:ascii="Arial" w:hAnsi="Arial" w:cs="Arial"/>
          <w:sz w:val="22"/>
        </w:rPr>
        <w:t xml:space="preserve">Partiendo de tales parámetros, la Comisión propone las siguientes fechas y horarios para llevar </w:t>
      </w:r>
      <w:r w:rsidR="00710A6E" w:rsidRPr="00102728">
        <w:rPr>
          <w:rFonts w:ascii="Arial" w:hAnsi="Arial" w:cs="Arial"/>
          <w:sz w:val="22"/>
        </w:rPr>
        <w:t>a cabo los foros de debates públicos virtuales</w:t>
      </w:r>
      <w:r w:rsidR="00674BEC" w:rsidRPr="00102728">
        <w:rPr>
          <w:rFonts w:ascii="Arial" w:hAnsi="Arial" w:cs="Arial"/>
          <w:sz w:val="22"/>
        </w:rPr>
        <w:t>:</w:t>
      </w:r>
    </w:p>
    <w:p w14:paraId="0C41E862" w14:textId="66DD3D5C" w:rsidR="00102728" w:rsidRDefault="00102728" w:rsidP="00102728">
      <w:pPr>
        <w:rPr>
          <w:rFonts w:ascii="Arial" w:hAnsi="Arial" w:cs="Arial"/>
          <w:sz w:val="22"/>
        </w:rPr>
      </w:pPr>
    </w:p>
    <w:tbl>
      <w:tblPr>
        <w:tblStyle w:val="Tablaconcuadrcula"/>
        <w:tblW w:w="0" w:type="auto"/>
        <w:tblLook w:val="04A0" w:firstRow="1" w:lastRow="0" w:firstColumn="1" w:lastColumn="0" w:noHBand="0" w:noVBand="1"/>
      </w:tblPr>
      <w:tblGrid>
        <w:gridCol w:w="704"/>
        <w:gridCol w:w="2268"/>
        <w:gridCol w:w="3649"/>
        <w:gridCol w:w="2207"/>
      </w:tblGrid>
      <w:tr w:rsidR="00674BEC" w:rsidRPr="00102728" w14:paraId="158896B4" w14:textId="77777777" w:rsidTr="0027242E">
        <w:trPr>
          <w:trHeight w:val="567"/>
        </w:trPr>
        <w:tc>
          <w:tcPr>
            <w:tcW w:w="704" w:type="dxa"/>
            <w:shd w:val="clear" w:color="auto" w:fill="993366"/>
            <w:vAlign w:val="center"/>
          </w:tcPr>
          <w:p w14:paraId="1C24F28C" w14:textId="2C636B96" w:rsidR="00674BEC" w:rsidRPr="00102728" w:rsidRDefault="00674BEC" w:rsidP="00674BEC">
            <w:pPr>
              <w:spacing w:before="60" w:after="60"/>
              <w:jc w:val="center"/>
              <w:rPr>
                <w:rFonts w:ascii="Arial" w:hAnsi="Arial" w:cs="Arial"/>
                <w:b/>
                <w:bCs/>
                <w:color w:val="FFFFFF" w:themeColor="background1"/>
                <w:sz w:val="20"/>
                <w:szCs w:val="20"/>
              </w:rPr>
            </w:pPr>
            <w:r w:rsidRPr="00102728">
              <w:rPr>
                <w:rFonts w:ascii="Arial" w:hAnsi="Arial" w:cs="Arial"/>
                <w:b/>
                <w:bCs/>
                <w:color w:val="FFFFFF" w:themeColor="background1"/>
                <w:sz w:val="20"/>
                <w:szCs w:val="20"/>
              </w:rPr>
              <w:lastRenderedPageBreak/>
              <w:t>No.</w:t>
            </w:r>
          </w:p>
        </w:tc>
        <w:tc>
          <w:tcPr>
            <w:tcW w:w="2268" w:type="dxa"/>
            <w:shd w:val="clear" w:color="auto" w:fill="993366"/>
            <w:vAlign w:val="center"/>
          </w:tcPr>
          <w:p w14:paraId="507998DC" w14:textId="328AA1D9" w:rsidR="00674BEC" w:rsidRPr="00102728" w:rsidRDefault="00674BEC" w:rsidP="00674BEC">
            <w:pPr>
              <w:spacing w:before="60" w:after="60"/>
              <w:jc w:val="center"/>
              <w:rPr>
                <w:rFonts w:ascii="Arial" w:hAnsi="Arial" w:cs="Arial"/>
                <w:b/>
                <w:bCs/>
                <w:color w:val="FFFFFF" w:themeColor="background1"/>
                <w:sz w:val="20"/>
                <w:szCs w:val="20"/>
              </w:rPr>
            </w:pPr>
            <w:r w:rsidRPr="00102728">
              <w:rPr>
                <w:rFonts w:ascii="Arial" w:hAnsi="Arial" w:cs="Arial"/>
                <w:b/>
                <w:bCs/>
                <w:color w:val="FFFFFF" w:themeColor="background1"/>
                <w:sz w:val="20"/>
                <w:szCs w:val="20"/>
              </w:rPr>
              <w:t>Cargo</w:t>
            </w:r>
          </w:p>
        </w:tc>
        <w:tc>
          <w:tcPr>
            <w:tcW w:w="3649" w:type="dxa"/>
            <w:shd w:val="clear" w:color="auto" w:fill="993366"/>
            <w:vAlign w:val="center"/>
          </w:tcPr>
          <w:p w14:paraId="63EA0C02" w14:textId="7B666979" w:rsidR="00674BEC" w:rsidRPr="00102728" w:rsidRDefault="00674BEC" w:rsidP="00674BEC">
            <w:pPr>
              <w:spacing w:before="60" w:after="60"/>
              <w:jc w:val="center"/>
              <w:rPr>
                <w:rFonts w:ascii="Arial" w:hAnsi="Arial" w:cs="Arial"/>
                <w:b/>
                <w:bCs/>
                <w:color w:val="FFFFFF" w:themeColor="background1"/>
                <w:sz w:val="20"/>
                <w:szCs w:val="20"/>
              </w:rPr>
            </w:pPr>
            <w:r w:rsidRPr="00102728">
              <w:rPr>
                <w:rFonts w:ascii="Arial" w:hAnsi="Arial" w:cs="Arial"/>
                <w:b/>
                <w:bCs/>
                <w:color w:val="FFFFFF" w:themeColor="background1"/>
                <w:sz w:val="20"/>
                <w:szCs w:val="20"/>
              </w:rPr>
              <w:t>Participantes</w:t>
            </w:r>
          </w:p>
        </w:tc>
        <w:tc>
          <w:tcPr>
            <w:tcW w:w="2207" w:type="dxa"/>
            <w:shd w:val="clear" w:color="auto" w:fill="993366"/>
            <w:vAlign w:val="center"/>
          </w:tcPr>
          <w:p w14:paraId="24DB8BA2" w14:textId="107181A5" w:rsidR="00674BEC" w:rsidRPr="00102728" w:rsidRDefault="00674BEC" w:rsidP="00674BEC">
            <w:pPr>
              <w:spacing w:before="60" w:after="60"/>
              <w:jc w:val="center"/>
              <w:rPr>
                <w:rFonts w:ascii="Arial" w:hAnsi="Arial" w:cs="Arial"/>
                <w:b/>
                <w:bCs/>
                <w:color w:val="FFFFFF" w:themeColor="background1"/>
                <w:sz w:val="20"/>
                <w:szCs w:val="20"/>
              </w:rPr>
            </w:pPr>
            <w:r w:rsidRPr="00102728">
              <w:rPr>
                <w:rFonts w:ascii="Arial" w:hAnsi="Arial" w:cs="Arial"/>
                <w:b/>
                <w:bCs/>
                <w:color w:val="FFFFFF" w:themeColor="background1"/>
                <w:sz w:val="20"/>
                <w:szCs w:val="20"/>
              </w:rPr>
              <w:t>Fecha y horario</w:t>
            </w:r>
          </w:p>
        </w:tc>
      </w:tr>
      <w:tr w:rsidR="00674BEC" w:rsidRPr="00102728" w14:paraId="2D7C6B19" w14:textId="77777777" w:rsidTr="0027242E">
        <w:trPr>
          <w:trHeight w:val="567"/>
        </w:trPr>
        <w:tc>
          <w:tcPr>
            <w:tcW w:w="704" w:type="dxa"/>
            <w:vMerge w:val="restart"/>
            <w:vAlign w:val="center"/>
          </w:tcPr>
          <w:p w14:paraId="340A2A7E" w14:textId="798F646E" w:rsidR="00674BEC" w:rsidRPr="00102728" w:rsidRDefault="00674BEC" w:rsidP="00674BEC">
            <w:pPr>
              <w:spacing w:before="60" w:after="60"/>
              <w:jc w:val="center"/>
              <w:rPr>
                <w:rFonts w:ascii="Arial" w:hAnsi="Arial" w:cs="Arial"/>
                <w:b/>
                <w:bCs/>
                <w:sz w:val="20"/>
                <w:szCs w:val="20"/>
              </w:rPr>
            </w:pPr>
            <w:r w:rsidRPr="00102728">
              <w:rPr>
                <w:rFonts w:ascii="Arial" w:hAnsi="Arial" w:cs="Arial"/>
                <w:b/>
                <w:bCs/>
                <w:sz w:val="20"/>
                <w:szCs w:val="20"/>
              </w:rPr>
              <w:t>01</w:t>
            </w:r>
          </w:p>
        </w:tc>
        <w:tc>
          <w:tcPr>
            <w:tcW w:w="2268" w:type="dxa"/>
            <w:vMerge w:val="restart"/>
            <w:vAlign w:val="center"/>
          </w:tcPr>
          <w:p w14:paraId="050CF8F9" w14:textId="6E21B38E" w:rsidR="00674BEC" w:rsidRPr="00102728" w:rsidRDefault="00674BEC" w:rsidP="00674BEC">
            <w:pPr>
              <w:spacing w:before="60" w:after="60"/>
              <w:rPr>
                <w:rFonts w:ascii="Arial" w:hAnsi="Arial" w:cs="Arial"/>
                <w:b/>
                <w:bCs/>
                <w:sz w:val="20"/>
                <w:szCs w:val="20"/>
              </w:rPr>
            </w:pPr>
            <w:r w:rsidRPr="00102728">
              <w:rPr>
                <w:rFonts w:ascii="Arial" w:hAnsi="Arial" w:cs="Arial"/>
                <w:b/>
                <w:bCs/>
                <w:sz w:val="20"/>
                <w:szCs w:val="20"/>
              </w:rPr>
              <w:t>Magistradas del Tribunal de Disciplina Judicial</w:t>
            </w:r>
          </w:p>
        </w:tc>
        <w:tc>
          <w:tcPr>
            <w:tcW w:w="3649" w:type="dxa"/>
            <w:vAlign w:val="center"/>
          </w:tcPr>
          <w:p w14:paraId="5DB809B9" w14:textId="62F3C678" w:rsidR="00674BEC" w:rsidRPr="00102728" w:rsidRDefault="00674BEC" w:rsidP="00674BEC">
            <w:pPr>
              <w:spacing w:before="60" w:after="60"/>
              <w:rPr>
                <w:rFonts w:ascii="Arial" w:hAnsi="Arial" w:cs="Arial"/>
                <w:b/>
                <w:bCs/>
                <w:sz w:val="20"/>
                <w:szCs w:val="20"/>
              </w:rPr>
            </w:pPr>
            <w:r w:rsidRPr="00102728">
              <w:rPr>
                <w:rFonts w:ascii="Arial" w:hAnsi="Arial" w:cs="Arial"/>
                <w:b/>
                <w:bCs/>
                <w:sz w:val="20"/>
                <w:szCs w:val="20"/>
              </w:rPr>
              <w:t>Rosa Isela González Zacarías</w:t>
            </w:r>
          </w:p>
        </w:tc>
        <w:tc>
          <w:tcPr>
            <w:tcW w:w="2207" w:type="dxa"/>
            <w:vMerge w:val="restart"/>
            <w:vAlign w:val="center"/>
          </w:tcPr>
          <w:p w14:paraId="7859F0EB" w14:textId="2EB0C5F3" w:rsidR="00674BEC" w:rsidRPr="00102728" w:rsidRDefault="00674BEC" w:rsidP="00674BEC">
            <w:pPr>
              <w:spacing w:before="60" w:after="60"/>
              <w:rPr>
                <w:rFonts w:ascii="Arial" w:hAnsi="Arial" w:cs="Arial"/>
                <w:b/>
                <w:bCs/>
                <w:sz w:val="20"/>
                <w:szCs w:val="20"/>
              </w:rPr>
            </w:pPr>
            <w:r w:rsidRPr="00102728">
              <w:rPr>
                <w:rFonts w:ascii="Arial" w:hAnsi="Arial" w:cs="Arial"/>
                <w:b/>
                <w:bCs/>
                <w:sz w:val="20"/>
                <w:szCs w:val="20"/>
              </w:rPr>
              <w:t>Jueves 22 de mayo 2025, a las 18:00 horas.</w:t>
            </w:r>
          </w:p>
        </w:tc>
      </w:tr>
      <w:tr w:rsidR="00674BEC" w:rsidRPr="00102728" w14:paraId="476E02DA" w14:textId="77777777" w:rsidTr="0027242E">
        <w:trPr>
          <w:trHeight w:val="567"/>
        </w:trPr>
        <w:tc>
          <w:tcPr>
            <w:tcW w:w="704" w:type="dxa"/>
            <w:vMerge/>
            <w:vAlign w:val="center"/>
          </w:tcPr>
          <w:p w14:paraId="40A5D7A7" w14:textId="71C1008A" w:rsidR="00674BEC" w:rsidRPr="00102728" w:rsidRDefault="00674BEC" w:rsidP="00674BEC">
            <w:pPr>
              <w:spacing w:before="60" w:after="60"/>
              <w:jc w:val="center"/>
              <w:rPr>
                <w:rFonts w:ascii="Arial" w:hAnsi="Arial" w:cs="Arial"/>
                <w:b/>
                <w:bCs/>
                <w:sz w:val="20"/>
                <w:szCs w:val="20"/>
              </w:rPr>
            </w:pPr>
          </w:p>
        </w:tc>
        <w:tc>
          <w:tcPr>
            <w:tcW w:w="2268" w:type="dxa"/>
            <w:vMerge/>
            <w:vAlign w:val="center"/>
          </w:tcPr>
          <w:p w14:paraId="354EE8ED" w14:textId="77777777" w:rsidR="00674BEC" w:rsidRPr="00102728" w:rsidRDefault="00674BEC" w:rsidP="00674BEC">
            <w:pPr>
              <w:spacing w:before="60" w:after="60"/>
              <w:rPr>
                <w:rFonts w:ascii="Arial" w:hAnsi="Arial" w:cs="Arial"/>
                <w:b/>
                <w:bCs/>
                <w:sz w:val="20"/>
                <w:szCs w:val="20"/>
              </w:rPr>
            </w:pPr>
          </w:p>
        </w:tc>
        <w:tc>
          <w:tcPr>
            <w:tcW w:w="3649" w:type="dxa"/>
            <w:vAlign w:val="center"/>
          </w:tcPr>
          <w:p w14:paraId="2F4A9BF9" w14:textId="427EE609" w:rsidR="00674BEC" w:rsidRPr="00102728" w:rsidRDefault="00674BEC" w:rsidP="00674BEC">
            <w:pPr>
              <w:spacing w:before="60" w:after="60"/>
              <w:rPr>
                <w:rFonts w:ascii="Arial" w:hAnsi="Arial" w:cs="Arial"/>
                <w:b/>
                <w:bCs/>
                <w:sz w:val="20"/>
                <w:szCs w:val="20"/>
              </w:rPr>
            </w:pPr>
            <w:r w:rsidRPr="00102728">
              <w:rPr>
                <w:rFonts w:ascii="Arial" w:hAnsi="Arial" w:cs="Arial"/>
                <w:b/>
                <w:bCs/>
                <w:sz w:val="20"/>
                <w:szCs w:val="20"/>
              </w:rPr>
              <w:t xml:space="preserve">Liliana Ramón </w:t>
            </w:r>
            <w:proofErr w:type="spellStart"/>
            <w:r w:rsidRPr="00102728">
              <w:rPr>
                <w:rFonts w:ascii="Arial" w:hAnsi="Arial" w:cs="Arial"/>
                <w:b/>
                <w:bCs/>
                <w:sz w:val="20"/>
                <w:szCs w:val="20"/>
              </w:rPr>
              <w:t>Recino</w:t>
            </w:r>
            <w:proofErr w:type="spellEnd"/>
          </w:p>
        </w:tc>
        <w:tc>
          <w:tcPr>
            <w:tcW w:w="2207" w:type="dxa"/>
            <w:vMerge/>
            <w:vAlign w:val="center"/>
          </w:tcPr>
          <w:p w14:paraId="5C4E6B0F" w14:textId="77777777" w:rsidR="00674BEC" w:rsidRPr="00102728" w:rsidRDefault="00674BEC" w:rsidP="00674BEC">
            <w:pPr>
              <w:spacing w:before="60" w:after="60"/>
              <w:rPr>
                <w:rFonts w:ascii="Arial" w:hAnsi="Arial" w:cs="Arial"/>
                <w:b/>
                <w:bCs/>
                <w:sz w:val="20"/>
                <w:szCs w:val="20"/>
              </w:rPr>
            </w:pPr>
          </w:p>
        </w:tc>
      </w:tr>
      <w:tr w:rsidR="00674BEC" w:rsidRPr="00102728" w14:paraId="49847A7D" w14:textId="77777777" w:rsidTr="0027242E">
        <w:trPr>
          <w:trHeight w:val="567"/>
        </w:trPr>
        <w:tc>
          <w:tcPr>
            <w:tcW w:w="704" w:type="dxa"/>
            <w:vMerge w:val="restart"/>
            <w:vAlign w:val="center"/>
          </w:tcPr>
          <w:p w14:paraId="7CFD46E2" w14:textId="35A612B0" w:rsidR="00674BEC" w:rsidRPr="00102728" w:rsidRDefault="00674BEC" w:rsidP="00674BEC">
            <w:pPr>
              <w:spacing w:before="60" w:after="60"/>
              <w:jc w:val="center"/>
              <w:rPr>
                <w:rFonts w:ascii="Arial" w:hAnsi="Arial" w:cs="Arial"/>
                <w:b/>
                <w:bCs/>
                <w:sz w:val="20"/>
                <w:szCs w:val="20"/>
              </w:rPr>
            </w:pPr>
            <w:r w:rsidRPr="00102728">
              <w:rPr>
                <w:rFonts w:ascii="Arial" w:hAnsi="Arial" w:cs="Arial"/>
                <w:b/>
                <w:bCs/>
                <w:sz w:val="20"/>
                <w:szCs w:val="20"/>
              </w:rPr>
              <w:t>02</w:t>
            </w:r>
          </w:p>
        </w:tc>
        <w:tc>
          <w:tcPr>
            <w:tcW w:w="2268" w:type="dxa"/>
            <w:vMerge w:val="restart"/>
            <w:vAlign w:val="center"/>
          </w:tcPr>
          <w:p w14:paraId="1B955154" w14:textId="78C0F9A6" w:rsidR="00674BEC" w:rsidRPr="00102728" w:rsidRDefault="00674BEC" w:rsidP="00674BEC">
            <w:pPr>
              <w:spacing w:before="60" w:after="60"/>
              <w:rPr>
                <w:rFonts w:ascii="Arial" w:hAnsi="Arial" w:cs="Arial"/>
                <w:b/>
                <w:bCs/>
                <w:sz w:val="20"/>
                <w:szCs w:val="20"/>
              </w:rPr>
            </w:pPr>
            <w:r w:rsidRPr="00102728">
              <w:rPr>
                <w:rFonts w:ascii="Arial" w:hAnsi="Arial" w:cs="Arial"/>
                <w:b/>
                <w:bCs/>
                <w:sz w:val="20"/>
                <w:szCs w:val="20"/>
              </w:rPr>
              <w:t>Magistrados del Tribunal Superior de Justicia, en materia penal</w:t>
            </w:r>
          </w:p>
        </w:tc>
        <w:tc>
          <w:tcPr>
            <w:tcW w:w="3649" w:type="dxa"/>
            <w:vAlign w:val="center"/>
          </w:tcPr>
          <w:p w14:paraId="4A5DB57E" w14:textId="11A95160" w:rsidR="00674BEC" w:rsidRPr="00102728" w:rsidRDefault="00674BEC" w:rsidP="00674BEC">
            <w:pPr>
              <w:spacing w:before="60" w:after="60"/>
              <w:rPr>
                <w:rFonts w:ascii="Arial" w:hAnsi="Arial" w:cs="Arial"/>
                <w:b/>
                <w:bCs/>
                <w:sz w:val="20"/>
                <w:szCs w:val="20"/>
              </w:rPr>
            </w:pPr>
            <w:proofErr w:type="spellStart"/>
            <w:r w:rsidRPr="00102728">
              <w:rPr>
                <w:rFonts w:ascii="Arial" w:hAnsi="Arial" w:cs="Arial"/>
                <w:b/>
                <w:bCs/>
                <w:sz w:val="20"/>
                <w:szCs w:val="20"/>
              </w:rPr>
              <w:t>Dorilian</w:t>
            </w:r>
            <w:proofErr w:type="spellEnd"/>
            <w:r w:rsidRPr="00102728">
              <w:rPr>
                <w:rFonts w:ascii="Arial" w:hAnsi="Arial" w:cs="Arial"/>
                <w:b/>
                <w:bCs/>
                <w:sz w:val="20"/>
                <w:szCs w:val="20"/>
              </w:rPr>
              <w:t xml:space="preserve"> Moscoso López</w:t>
            </w:r>
          </w:p>
        </w:tc>
        <w:tc>
          <w:tcPr>
            <w:tcW w:w="2207" w:type="dxa"/>
            <w:vMerge w:val="restart"/>
            <w:vAlign w:val="center"/>
          </w:tcPr>
          <w:p w14:paraId="08088289" w14:textId="1B064FE0" w:rsidR="00674BEC" w:rsidRPr="00102728" w:rsidRDefault="00674BEC" w:rsidP="00674BEC">
            <w:pPr>
              <w:spacing w:before="60" w:after="60"/>
              <w:rPr>
                <w:rFonts w:ascii="Arial" w:hAnsi="Arial" w:cs="Arial"/>
                <w:b/>
                <w:bCs/>
                <w:sz w:val="20"/>
                <w:szCs w:val="20"/>
              </w:rPr>
            </w:pPr>
            <w:r w:rsidRPr="00102728">
              <w:rPr>
                <w:rFonts w:ascii="Arial" w:hAnsi="Arial" w:cs="Arial"/>
                <w:b/>
                <w:bCs/>
                <w:sz w:val="20"/>
                <w:szCs w:val="20"/>
              </w:rPr>
              <w:t>Viernes 23 de mayo, a las 18:00 horas.</w:t>
            </w:r>
          </w:p>
        </w:tc>
      </w:tr>
      <w:tr w:rsidR="00674BEC" w:rsidRPr="00102728" w14:paraId="00691264" w14:textId="77777777" w:rsidTr="0027242E">
        <w:trPr>
          <w:trHeight w:val="567"/>
        </w:trPr>
        <w:tc>
          <w:tcPr>
            <w:tcW w:w="704" w:type="dxa"/>
            <w:vMerge/>
            <w:vAlign w:val="center"/>
          </w:tcPr>
          <w:p w14:paraId="4BC68F6A" w14:textId="77777777" w:rsidR="00674BEC" w:rsidRPr="00102728" w:rsidRDefault="00674BEC" w:rsidP="00674BEC">
            <w:pPr>
              <w:spacing w:before="60" w:after="60"/>
              <w:rPr>
                <w:rFonts w:ascii="Arial" w:hAnsi="Arial" w:cs="Arial"/>
                <w:b/>
                <w:bCs/>
                <w:sz w:val="20"/>
                <w:szCs w:val="20"/>
              </w:rPr>
            </w:pPr>
          </w:p>
        </w:tc>
        <w:tc>
          <w:tcPr>
            <w:tcW w:w="2268" w:type="dxa"/>
            <w:vMerge/>
            <w:vAlign w:val="center"/>
          </w:tcPr>
          <w:p w14:paraId="1B78B605" w14:textId="77777777" w:rsidR="00674BEC" w:rsidRPr="00102728" w:rsidRDefault="00674BEC" w:rsidP="00674BEC">
            <w:pPr>
              <w:spacing w:before="60" w:after="60"/>
              <w:rPr>
                <w:rFonts w:ascii="Arial" w:hAnsi="Arial" w:cs="Arial"/>
                <w:b/>
                <w:bCs/>
                <w:sz w:val="20"/>
                <w:szCs w:val="20"/>
              </w:rPr>
            </w:pPr>
          </w:p>
        </w:tc>
        <w:tc>
          <w:tcPr>
            <w:tcW w:w="3649" w:type="dxa"/>
            <w:vAlign w:val="center"/>
          </w:tcPr>
          <w:p w14:paraId="00EB8F7F" w14:textId="7AA2330A" w:rsidR="00674BEC" w:rsidRPr="00102728" w:rsidRDefault="00674BEC" w:rsidP="00674BEC">
            <w:pPr>
              <w:spacing w:before="60" w:after="60"/>
              <w:rPr>
                <w:rFonts w:ascii="Arial" w:hAnsi="Arial" w:cs="Arial"/>
                <w:b/>
                <w:bCs/>
                <w:spacing w:val="-6"/>
                <w:sz w:val="20"/>
                <w:szCs w:val="20"/>
              </w:rPr>
            </w:pPr>
            <w:r w:rsidRPr="00102728">
              <w:rPr>
                <w:rFonts w:ascii="Arial" w:hAnsi="Arial" w:cs="Arial"/>
                <w:b/>
                <w:bCs/>
                <w:spacing w:val="-6"/>
                <w:sz w:val="20"/>
                <w:szCs w:val="20"/>
              </w:rPr>
              <w:t xml:space="preserve">Fernando Alberto Martínez </w:t>
            </w:r>
            <w:proofErr w:type="spellStart"/>
            <w:r w:rsidRPr="00102728">
              <w:rPr>
                <w:rFonts w:ascii="Arial" w:hAnsi="Arial" w:cs="Arial"/>
                <w:b/>
                <w:bCs/>
                <w:spacing w:val="-6"/>
                <w:sz w:val="20"/>
                <w:szCs w:val="20"/>
              </w:rPr>
              <w:t>Argáez</w:t>
            </w:r>
            <w:proofErr w:type="spellEnd"/>
          </w:p>
        </w:tc>
        <w:tc>
          <w:tcPr>
            <w:tcW w:w="2207" w:type="dxa"/>
            <w:vMerge/>
            <w:vAlign w:val="center"/>
          </w:tcPr>
          <w:p w14:paraId="67ECBF05" w14:textId="77777777" w:rsidR="00674BEC" w:rsidRPr="00102728" w:rsidRDefault="00674BEC" w:rsidP="00674BEC">
            <w:pPr>
              <w:spacing w:before="60" w:after="60"/>
              <w:rPr>
                <w:rFonts w:ascii="Arial" w:hAnsi="Arial" w:cs="Arial"/>
                <w:sz w:val="20"/>
                <w:szCs w:val="20"/>
              </w:rPr>
            </w:pPr>
          </w:p>
        </w:tc>
      </w:tr>
      <w:tr w:rsidR="00674BEC" w:rsidRPr="00102728" w14:paraId="3E7E53AF" w14:textId="77777777" w:rsidTr="0027242E">
        <w:trPr>
          <w:trHeight w:val="567"/>
        </w:trPr>
        <w:tc>
          <w:tcPr>
            <w:tcW w:w="704" w:type="dxa"/>
            <w:vMerge/>
            <w:vAlign w:val="center"/>
          </w:tcPr>
          <w:p w14:paraId="0A4A08A4" w14:textId="77777777" w:rsidR="00674BEC" w:rsidRPr="00102728" w:rsidRDefault="00674BEC" w:rsidP="00674BEC">
            <w:pPr>
              <w:spacing w:before="60" w:after="60"/>
              <w:rPr>
                <w:rFonts w:ascii="Arial" w:hAnsi="Arial" w:cs="Arial"/>
                <w:b/>
                <w:bCs/>
                <w:sz w:val="20"/>
                <w:szCs w:val="20"/>
              </w:rPr>
            </w:pPr>
          </w:p>
        </w:tc>
        <w:tc>
          <w:tcPr>
            <w:tcW w:w="2268" w:type="dxa"/>
            <w:vMerge/>
            <w:vAlign w:val="center"/>
          </w:tcPr>
          <w:p w14:paraId="553A3F9D" w14:textId="77777777" w:rsidR="00674BEC" w:rsidRPr="00102728" w:rsidRDefault="00674BEC" w:rsidP="00674BEC">
            <w:pPr>
              <w:spacing w:before="60" w:after="60"/>
              <w:rPr>
                <w:rFonts w:ascii="Arial" w:hAnsi="Arial" w:cs="Arial"/>
                <w:b/>
                <w:bCs/>
                <w:sz w:val="20"/>
                <w:szCs w:val="20"/>
              </w:rPr>
            </w:pPr>
          </w:p>
        </w:tc>
        <w:tc>
          <w:tcPr>
            <w:tcW w:w="3649" w:type="dxa"/>
            <w:vAlign w:val="center"/>
          </w:tcPr>
          <w:p w14:paraId="36A7412D" w14:textId="74A508EB" w:rsidR="00674BEC" w:rsidRPr="00102728" w:rsidRDefault="00674BEC" w:rsidP="00674BEC">
            <w:pPr>
              <w:spacing w:before="60" w:after="60"/>
              <w:rPr>
                <w:rFonts w:ascii="Arial" w:hAnsi="Arial" w:cs="Arial"/>
                <w:b/>
                <w:bCs/>
                <w:sz w:val="20"/>
                <w:szCs w:val="20"/>
              </w:rPr>
            </w:pPr>
            <w:r w:rsidRPr="00102728">
              <w:rPr>
                <w:rFonts w:ascii="Arial" w:hAnsi="Arial" w:cs="Arial"/>
                <w:b/>
                <w:bCs/>
                <w:sz w:val="20"/>
                <w:szCs w:val="20"/>
              </w:rPr>
              <w:t>Jesús Rodolfo Cárdenas Jiménez</w:t>
            </w:r>
          </w:p>
        </w:tc>
        <w:tc>
          <w:tcPr>
            <w:tcW w:w="2207" w:type="dxa"/>
            <w:vMerge/>
            <w:vAlign w:val="center"/>
          </w:tcPr>
          <w:p w14:paraId="497C3EB4" w14:textId="77777777" w:rsidR="00674BEC" w:rsidRPr="00102728" w:rsidRDefault="00674BEC" w:rsidP="00674BEC">
            <w:pPr>
              <w:spacing w:before="60" w:after="60"/>
              <w:rPr>
                <w:rFonts w:ascii="Arial" w:hAnsi="Arial" w:cs="Arial"/>
                <w:sz w:val="20"/>
                <w:szCs w:val="20"/>
              </w:rPr>
            </w:pPr>
          </w:p>
        </w:tc>
      </w:tr>
      <w:tr w:rsidR="00674BEC" w:rsidRPr="00102728" w14:paraId="4631D291" w14:textId="77777777" w:rsidTr="0027242E">
        <w:trPr>
          <w:trHeight w:val="567"/>
        </w:trPr>
        <w:tc>
          <w:tcPr>
            <w:tcW w:w="704" w:type="dxa"/>
            <w:vMerge/>
            <w:vAlign w:val="center"/>
          </w:tcPr>
          <w:p w14:paraId="30E01D2A" w14:textId="77777777" w:rsidR="00674BEC" w:rsidRPr="00102728" w:rsidRDefault="00674BEC" w:rsidP="00674BEC">
            <w:pPr>
              <w:spacing w:before="60" w:after="60"/>
              <w:rPr>
                <w:rFonts w:ascii="Arial" w:hAnsi="Arial" w:cs="Arial"/>
                <w:b/>
                <w:bCs/>
                <w:sz w:val="20"/>
                <w:szCs w:val="20"/>
              </w:rPr>
            </w:pPr>
          </w:p>
        </w:tc>
        <w:tc>
          <w:tcPr>
            <w:tcW w:w="2268" w:type="dxa"/>
            <w:vMerge/>
            <w:vAlign w:val="center"/>
          </w:tcPr>
          <w:p w14:paraId="20CBA568" w14:textId="77777777" w:rsidR="00674BEC" w:rsidRPr="00102728" w:rsidRDefault="00674BEC" w:rsidP="00674BEC">
            <w:pPr>
              <w:spacing w:before="60" w:after="60"/>
              <w:rPr>
                <w:rFonts w:ascii="Arial" w:hAnsi="Arial" w:cs="Arial"/>
                <w:b/>
                <w:bCs/>
                <w:sz w:val="20"/>
                <w:szCs w:val="20"/>
              </w:rPr>
            </w:pPr>
          </w:p>
        </w:tc>
        <w:tc>
          <w:tcPr>
            <w:tcW w:w="3649" w:type="dxa"/>
            <w:vAlign w:val="center"/>
          </w:tcPr>
          <w:p w14:paraId="3F9555C2" w14:textId="7284E441" w:rsidR="00674BEC" w:rsidRPr="00102728" w:rsidRDefault="0082710C" w:rsidP="00674BEC">
            <w:pPr>
              <w:spacing w:before="60" w:after="60"/>
              <w:rPr>
                <w:rFonts w:ascii="Arial" w:hAnsi="Arial" w:cs="Arial"/>
                <w:b/>
                <w:bCs/>
                <w:sz w:val="20"/>
                <w:szCs w:val="20"/>
              </w:rPr>
            </w:pPr>
            <w:r w:rsidRPr="00102728">
              <w:rPr>
                <w:rFonts w:ascii="Arial" w:hAnsi="Arial" w:cs="Arial"/>
                <w:b/>
                <w:bCs/>
                <w:sz w:val="20"/>
                <w:szCs w:val="20"/>
              </w:rPr>
              <w:t>Manasés</w:t>
            </w:r>
            <w:r w:rsidR="00674BEC" w:rsidRPr="00102728">
              <w:rPr>
                <w:rFonts w:ascii="Arial" w:hAnsi="Arial" w:cs="Arial"/>
                <w:b/>
                <w:bCs/>
                <w:sz w:val="20"/>
                <w:szCs w:val="20"/>
              </w:rPr>
              <w:t xml:space="preserve"> </w:t>
            </w:r>
            <w:proofErr w:type="spellStart"/>
            <w:r w:rsidR="00674BEC" w:rsidRPr="00102728">
              <w:rPr>
                <w:rFonts w:ascii="Arial" w:hAnsi="Arial" w:cs="Arial"/>
                <w:b/>
                <w:bCs/>
                <w:sz w:val="20"/>
                <w:szCs w:val="20"/>
              </w:rPr>
              <w:t>Silván</w:t>
            </w:r>
            <w:proofErr w:type="spellEnd"/>
            <w:r w:rsidR="00674BEC" w:rsidRPr="00102728">
              <w:rPr>
                <w:rFonts w:ascii="Arial" w:hAnsi="Arial" w:cs="Arial"/>
                <w:b/>
                <w:bCs/>
                <w:sz w:val="20"/>
                <w:szCs w:val="20"/>
              </w:rPr>
              <w:t xml:space="preserve"> </w:t>
            </w:r>
            <w:proofErr w:type="spellStart"/>
            <w:r w:rsidR="00674BEC" w:rsidRPr="00102728">
              <w:rPr>
                <w:rFonts w:ascii="Arial" w:hAnsi="Arial" w:cs="Arial"/>
                <w:b/>
                <w:bCs/>
                <w:sz w:val="20"/>
                <w:szCs w:val="20"/>
              </w:rPr>
              <w:t>Olán</w:t>
            </w:r>
            <w:proofErr w:type="spellEnd"/>
          </w:p>
        </w:tc>
        <w:tc>
          <w:tcPr>
            <w:tcW w:w="2207" w:type="dxa"/>
            <w:vMerge/>
            <w:vAlign w:val="center"/>
          </w:tcPr>
          <w:p w14:paraId="5F07B82F" w14:textId="77777777" w:rsidR="00674BEC" w:rsidRPr="00102728" w:rsidRDefault="00674BEC" w:rsidP="00674BEC">
            <w:pPr>
              <w:spacing w:before="60" w:after="60"/>
              <w:rPr>
                <w:rFonts w:ascii="Arial" w:hAnsi="Arial" w:cs="Arial"/>
                <w:sz w:val="20"/>
                <w:szCs w:val="20"/>
              </w:rPr>
            </w:pPr>
          </w:p>
        </w:tc>
      </w:tr>
      <w:tr w:rsidR="00674BEC" w:rsidRPr="00102728" w14:paraId="1E919BB7" w14:textId="77777777" w:rsidTr="0027242E">
        <w:trPr>
          <w:trHeight w:val="567"/>
        </w:trPr>
        <w:tc>
          <w:tcPr>
            <w:tcW w:w="704" w:type="dxa"/>
            <w:vMerge/>
            <w:vAlign w:val="center"/>
          </w:tcPr>
          <w:p w14:paraId="254975DE" w14:textId="77777777" w:rsidR="00674BEC" w:rsidRPr="00102728" w:rsidRDefault="00674BEC" w:rsidP="00674BEC">
            <w:pPr>
              <w:spacing w:before="60" w:after="60"/>
              <w:rPr>
                <w:rFonts w:ascii="Arial" w:hAnsi="Arial" w:cs="Arial"/>
                <w:b/>
                <w:bCs/>
                <w:sz w:val="20"/>
                <w:szCs w:val="20"/>
              </w:rPr>
            </w:pPr>
          </w:p>
        </w:tc>
        <w:tc>
          <w:tcPr>
            <w:tcW w:w="2268" w:type="dxa"/>
            <w:vMerge/>
            <w:vAlign w:val="center"/>
          </w:tcPr>
          <w:p w14:paraId="0E3B8BC9" w14:textId="77777777" w:rsidR="00674BEC" w:rsidRPr="00102728" w:rsidRDefault="00674BEC" w:rsidP="00674BEC">
            <w:pPr>
              <w:spacing w:before="60" w:after="60"/>
              <w:rPr>
                <w:rFonts w:ascii="Arial" w:hAnsi="Arial" w:cs="Arial"/>
                <w:b/>
                <w:bCs/>
                <w:sz w:val="20"/>
                <w:szCs w:val="20"/>
              </w:rPr>
            </w:pPr>
          </w:p>
        </w:tc>
        <w:tc>
          <w:tcPr>
            <w:tcW w:w="3649" w:type="dxa"/>
            <w:vAlign w:val="center"/>
          </w:tcPr>
          <w:p w14:paraId="1D6E5219" w14:textId="69FC042B" w:rsidR="00674BEC" w:rsidRPr="00102728" w:rsidRDefault="00674BEC" w:rsidP="00674BEC">
            <w:pPr>
              <w:spacing w:before="60" w:after="60"/>
              <w:rPr>
                <w:rFonts w:ascii="Arial" w:hAnsi="Arial" w:cs="Arial"/>
                <w:b/>
                <w:bCs/>
                <w:sz w:val="20"/>
                <w:szCs w:val="20"/>
              </w:rPr>
            </w:pPr>
            <w:r w:rsidRPr="00102728">
              <w:rPr>
                <w:rFonts w:ascii="Arial" w:hAnsi="Arial" w:cs="Arial"/>
                <w:b/>
                <w:bCs/>
                <w:sz w:val="20"/>
                <w:szCs w:val="20"/>
              </w:rPr>
              <w:t>Juan Carlos Meza Ochoa</w:t>
            </w:r>
          </w:p>
        </w:tc>
        <w:tc>
          <w:tcPr>
            <w:tcW w:w="2207" w:type="dxa"/>
            <w:vMerge/>
            <w:vAlign w:val="center"/>
          </w:tcPr>
          <w:p w14:paraId="2C5045C7" w14:textId="77777777" w:rsidR="00674BEC" w:rsidRPr="00102728" w:rsidRDefault="00674BEC" w:rsidP="00674BEC">
            <w:pPr>
              <w:spacing w:before="60" w:after="60"/>
              <w:rPr>
                <w:rFonts w:ascii="Arial" w:hAnsi="Arial" w:cs="Arial"/>
                <w:sz w:val="20"/>
                <w:szCs w:val="20"/>
              </w:rPr>
            </w:pPr>
          </w:p>
        </w:tc>
      </w:tr>
    </w:tbl>
    <w:p w14:paraId="42D6DF99" w14:textId="32CD9E6B" w:rsidR="00E919C7" w:rsidRPr="00102728" w:rsidRDefault="00E919C7" w:rsidP="00E919C7">
      <w:pPr>
        <w:rPr>
          <w:rFonts w:ascii="Arial" w:hAnsi="Arial" w:cs="Arial"/>
          <w:sz w:val="22"/>
        </w:rPr>
      </w:pPr>
      <w:r w:rsidRPr="00102728">
        <w:rPr>
          <w:rFonts w:ascii="Arial" w:hAnsi="Arial" w:cs="Arial"/>
          <w:sz w:val="22"/>
        </w:rPr>
        <w:t>Sobre la base de las consideraciones señaladas, este Consejo Estatal emite el siguiente:</w:t>
      </w:r>
    </w:p>
    <w:p w14:paraId="484CC3FA" w14:textId="77777777" w:rsidR="00E919C7" w:rsidRPr="00102728" w:rsidRDefault="00E919C7" w:rsidP="0027242E">
      <w:pPr>
        <w:pStyle w:val="Ttulo1"/>
        <w:spacing w:before="480"/>
        <w:ind w:left="431" w:hanging="431"/>
        <w:rPr>
          <w:rFonts w:ascii="Arial" w:hAnsi="Arial" w:cs="Arial"/>
          <w:sz w:val="24"/>
        </w:rPr>
      </w:pPr>
      <w:r w:rsidRPr="00102728">
        <w:rPr>
          <w:rFonts w:ascii="Arial" w:hAnsi="Arial" w:cs="Arial"/>
          <w:sz w:val="24"/>
        </w:rPr>
        <w:t>Acuerdo</w:t>
      </w:r>
    </w:p>
    <w:p w14:paraId="6A590D80" w14:textId="46795C9E" w:rsidR="0082710C" w:rsidRPr="002B7D4A" w:rsidRDefault="00E919C7" w:rsidP="00102728">
      <w:pPr>
        <w:rPr>
          <w:rFonts w:ascii="Arial" w:hAnsi="Arial" w:cs="Arial"/>
          <w:sz w:val="22"/>
          <w:szCs w:val="22"/>
        </w:rPr>
      </w:pPr>
      <w:r w:rsidRPr="002B7D4A">
        <w:rPr>
          <w:rFonts w:ascii="Arial" w:hAnsi="Arial" w:cs="Arial"/>
          <w:b/>
          <w:bCs/>
          <w:sz w:val="22"/>
          <w:szCs w:val="22"/>
        </w:rPr>
        <w:t>Primero.</w:t>
      </w:r>
      <w:r w:rsidRPr="002B7D4A">
        <w:rPr>
          <w:rFonts w:ascii="Arial" w:hAnsi="Arial" w:cs="Arial"/>
          <w:sz w:val="22"/>
          <w:szCs w:val="22"/>
        </w:rPr>
        <w:t xml:space="preserve"> Se </w:t>
      </w:r>
      <w:r w:rsidR="0082710C" w:rsidRPr="002B7D4A">
        <w:rPr>
          <w:rFonts w:ascii="Arial" w:hAnsi="Arial" w:cs="Arial"/>
          <w:sz w:val="22"/>
          <w:szCs w:val="22"/>
        </w:rPr>
        <w:t>aprueba el número de foros de debates a realizar, el calendario y candidaturas participantes de las Magistraturas del Tribunal de Disciplina Judicial y del Tribunal Superior de Justicia del Poder Judicial del Estado de Tab</w:t>
      </w:r>
      <w:bookmarkStart w:id="0" w:name="_GoBack"/>
      <w:bookmarkEnd w:id="0"/>
      <w:r w:rsidR="0082710C" w:rsidRPr="002B7D4A">
        <w:rPr>
          <w:rFonts w:ascii="Arial" w:hAnsi="Arial" w:cs="Arial"/>
          <w:sz w:val="22"/>
          <w:szCs w:val="22"/>
        </w:rPr>
        <w:t>asco con motivo del Proceso Electoral Local Extraordinario para personas juzgadoras del Poder Judicial del Estado de Tabasco 2024 – 2025 propuesto por la Comisión Temporal de Foro de Debates, conforme a lo establecido en el considerando 2.13.</w:t>
      </w:r>
    </w:p>
    <w:p w14:paraId="0348D51B" w14:textId="31591DCC" w:rsidR="00050E98" w:rsidRPr="00102728" w:rsidRDefault="009625BC" w:rsidP="00102728">
      <w:pPr>
        <w:rPr>
          <w:rFonts w:ascii="Arial" w:hAnsi="Arial" w:cs="Arial"/>
          <w:sz w:val="22"/>
        </w:rPr>
      </w:pPr>
      <w:r w:rsidRPr="00102728">
        <w:rPr>
          <w:rFonts w:ascii="Arial" w:hAnsi="Arial" w:cs="Arial"/>
          <w:b/>
          <w:bCs/>
          <w:sz w:val="22"/>
        </w:rPr>
        <w:t>Segundo.</w:t>
      </w:r>
      <w:r w:rsidR="00050E98" w:rsidRPr="00102728">
        <w:rPr>
          <w:rFonts w:ascii="Arial" w:hAnsi="Arial" w:cs="Arial"/>
          <w:sz w:val="22"/>
        </w:rPr>
        <w:t xml:space="preserve"> Se instruye a la Secretaría Ejecutiva notifique el contenido del presente acuerdo, a las juntas electorales distritales del Instituto; y, en términos del artículo 387 numeral 9 de la Ley Electoral, a las personas candidatas a los cargos de elección del Poder Judicial del Estado de Tabasco.</w:t>
      </w:r>
    </w:p>
    <w:p w14:paraId="42C0E081" w14:textId="3BA5BE24" w:rsidR="009625BC" w:rsidRDefault="00050E98" w:rsidP="00102728">
      <w:pPr>
        <w:rPr>
          <w:rFonts w:ascii="Arial" w:hAnsi="Arial" w:cs="Arial"/>
          <w:sz w:val="22"/>
        </w:rPr>
      </w:pPr>
      <w:r w:rsidRPr="00102728">
        <w:rPr>
          <w:rFonts w:ascii="Arial" w:hAnsi="Arial" w:cs="Arial"/>
          <w:b/>
          <w:bCs/>
          <w:sz w:val="22"/>
        </w:rPr>
        <w:t xml:space="preserve">Tercero. </w:t>
      </w:r>
      <w:r w:rsidRPr="00102728">
        <w:rPr>
          <w:rFonts w:ascii="Arial" w:hAnsi="Arial" w:cs="Arial"/>
          <w:sz w:val="22"/>
        </w:rPr>
        <w:t>Asimismo,</w:t>
      </w:r>
      <w:r w:rsidRPr="00102728">
        <w:rPr>
          <w:rFonts w:ascii="Arial" w:hAnsi="Arial" w:cs="Arial"/>
          <w:b/>
          <w:bCs/>
          <w:sz w:val="22"/>
        </w:rPr>
        <w:t xml:space="preserve"> </w:t>
      </w:r>
      <w:r w:rsidRPr="00102728">
        <w:rPr>
          <w:rFonts w:ascii="Arial" w:hAnsi="Arial" w:cs="Arial"/>
          <w:sz w:val="22"/>
        </w:rPr>
        <w:t>s</w:t>
      </w:r>
      <w:r w:rsidR="009625BC" w:rsidRPr="00102728">
        <w:rPr>
          <w:rFonts w:ascii="Arial" w:hAnsi="Arial" w:cs="Arial"/>
          <w:sz w:val="22"/>
        </w:rPr>
        <w:t>e instruye a la Secretaría Ejecutiva para que, por conducto de la Coordinación de Vinculación con el INE notifique el presente acuerdo al citado organismo nacional, a través de su Unidad Técnica de Vinculación con los Organismos Públicos Locales, para los efectos correspondientes.</w:t>
      </w:r>
    </w:p>
    <w:p w14:paraId="607C4870" w14:textId="77777777" w:rsidR="002B7D4A" w:rsidRPr="00102728" w:rsidRDefault="002B7D4A" w:rsidP="00102728">
      <w:pPr>
        <w:rPr>
          <w:rFonts w:ascii="Arial" w:hAnsi="Arial" w:cs="Arial"/>
          <w:sz w:val="22"/>
        </w:rPr>
      </w:pPr>
    </w:p>
    <w:p w14:paraId="7C719571" w14:textId="28D71A62" w:rsidR="009625BC" w:rsidRPr="00102728" w:rsidRDefault="002903CB" w:rsidP="00102728">
      <w:pPr>
        <w:widowControl w:val="0"/>
        <w:rPr>
          <w:rFonts w:ascii="Arial" w:hAnsi="Arial" w:cs="Arial"/>
          <w:sz w:val="22"/>
        </w:rPr>
      </w:pPr>
      <w:r w:rsidRPr="00102728">
        <w:rPr>
          <w:rFonts w:ascii="Arial" w:hAnsi="Arial" w:cs="Arial"/>
          <w:b/>
          <w:bCs/>
          <w:sz w:val="22"/>
        </w:rPr>
        <w:lastRenderedPageBreak/>
        <w:t>Cuarto</w:t>
      </w:r>
      <w:r w:rsidR="009625BC" w:rsidRPr="00102728">
        <w:rPr>
          <w:rFonts w:ascii="Arial" w:hAnsi="Arial" w:cs="Arial"/>
          <w:b/>
          <w:bCs/>
          <w:sz w:val="22"/>
        </w:rPr>
        <w:t>.</w:t>
      </w:r>
      <w:r w:rsidR="009625BC" w:rsidRPr="00102728">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2C7F156D" w14:textId="415F047F" w:rsidR="009625BC" w:rsidRPr="00102728" w:rsidRDefault="009625BC" w:rsidP="00102728">
      <w:pPr>
        <w:rPr>
          <w:rFonts w:ascii="Arial" w:hAnsi="Arial" w:cs="Arial"/>
          <w:sz w:val="22"/>
        </w:rPr>
      </w:pPr>
      <w:r w:rsidRPr="00102728">
        <w:rPr>
          <w:rFonts w:ascii="Arial" w:hAnsi="Arial" w:cs="Arial"/>
          <w:sz w:val="22"/>
        </w:rPr>
        <w:t xml:space="preserve">El presente acuerdo fue aprobado en sesión </w:t>
      </w:r>
      <w:r w:rsidR="00102728">
        <w:rPr>
          <w:rFonts w:ascii="Arial" w:hAnsi="Arial" w:cs="Arial"/>
          <w:sz w:val="22"/>
        </w:rPr>
        <w:t>extraordinaria</w:t>
      </w:r>
      <w:r w:rsidRPr="00102728">
        <w:rPr>
          <w:rFonts w:ascii="Arial" w:hAnsi="Arial" w:cs="Arial"/>
          <w:sz w:val="22"/>
        </w:rPr>
        <w:t xml:space="preserve"> efectuada el </w:t>
      </w:r>
      <w:r w:rsidR="00102728">
        <w:rPr>
          <w:rFonts w:ascii="Arial" w:hAnsi="Arial" w:cs="Arial"/>
          <w:sz w:val="22"/>
        </w:rPr>
        <w:t>trece</w:t>
      </w:r>
      <w:r w:rsidRPr="00102728">
        <w:rPr>
          <w:rFonts w:ascii="Arial" w:hAnsi="Arial" w:cs="Arial"/>
          <w:sz w:val="22"/>
        </w:rPr>
        <w:t xml:space="preserve"> de </w:t>
      </w:r>
      <w:r w:rsidR="00102728">
        <w:rPr>
          <w:rFonts w:ascii="Arial" w:hAnsi="Arial" w:cs="Arial"/>
          <w:sz w:val="22"/>
        </w:rPr>
        <w:t>mayo</w:t>
      </w:r>
      <w:r w:rsidRPr="00102728">
        <w:rPr>
          <w:rFonts w:ascii="Arial" w:hAnsi="Arial" w:cs="Arial"/>
          <w:sz w:val="22"/>
        </w:rPr>
        <w:t xml:space="preserve"> del año dos mil veinticinco, por votación </w:t>
      </w:r>
      <w:r w:rsidR="00102728">
        <w:rPr>
          <w:rFonts w:ascii="Arial" w:hAnsi="Arial" w:cs="Arial"/>
          <w:sz w:val="22"/>
        </w:rPr>
        <w:t>unánime</w:t>
      </w:r>
      <w:r w:rsidRPr="00102728">
        <w:rPr>
          <w:rFonts w:ascii="Arial" w:hAnsi="Arial" w:cs="Arial"/>
          <w:sz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102728">
        <w:rPr>
          <w:rFonts w:ascii="Arial" w:hAnsi="Arial" w:cs="Arial"/>
          <w:sz w:val="22"/>
        </w:rPr>
        <w:t>Beaurregard</w:t>
      </w:r>
      <w:proofErr w:type="spellEnd"/>
      <w:r w:rsidRPr="00102728">
        <w:rPr>
          <w:rFonts w:ascii="Arial" w:hAnsi="Arial" w:cs="Arial"/>
          <w:sz w:val="22"/>
        </w:rPr>
        <w:t xml:space="preserve">, Mtra. Ruth </w:t>
      </w:r>
      <w:proofErr w:type="spellStart"/>
      <w:r w:rsidRPr="00102728">
        <w:rPr>
          <w:rFonts w:ascii="Arial" w:hAnsi="Arial" w:cs="Arial"/>
          <w:sz w:val="22"/>
        </w:rPr>
        <w:t>Lizette</w:t>
      </w:r>
      <w:proofErr w:type="spellEnd"/>
      <w:r w:rsidRPr="00102728">
        <w:rPr>
          <w:rFonts w:ascii="Arial" w:hAnsi="Arial" w:cs="Arial"/>
          <w:sz w:val="22"/>
        </w:rPr>
        <w:t xml:space="preserve"> Toledo Peral y la Consejera Presidenta, Mtra. Elizabeth Nava Gutiérrez.</w:t>
      </w:r>
    </w:p>
    <w:p w14:paraId="2265B65D" w14:textId="1D3FACF9" w:rsidR="009625BC" w:rsidRDefault="009625BC" w:rsidP="00102728">
      <w:pPr>
        <w:rPr>
          <w:rFonts w:ascii="Arial" w:hAnsi="Arial" w:cs="Arial"/>
          <w:sz w:val="22"/>
        </w:rPr>
      </w:pPr>
    </w:p>
    <w:p w14:paraId="2EDB967D" w14:textId="4741C1B5" w:rsidR="0027242E" w:rsidRDefault="0027242E" w:rsidP="00102728">
      <w:pPr>
        <w:rPr>
          <w:rFonts w:ascii="Arial" w:hAnsi="Arial" w:cs="Arial"/>
          <w:sz w:val="22"/>
        </w:rPr>
      </w:pPr>
    </w:p>
    <w:p w14:paraId="40B11FCF" w14:textId="77777777" w:rsidR="0027242E" w:rsidRPr="00102728" w:rsidRDefault="0027242E" w:rsidP="00102728">
      <w:pPr>
        <w:rPr>
          <w:rFonts w:ascii="Arial" w:hAnsi="Arial" w:cs="Arial"/>
          <w:sz w:val="22"/>
        </w:rPr>
      </w:pPr>
    </w:p>
    <w:p w14:paraId="3311D75E" w14:textId="77777777" w:rsidR="009625BC" w:rsidRPr="00102728" w:rsidRDefault="009625BC" w:rsidP="00102728">
      <w:pPr>
        <w:rPr>
          <w:rFonts w:ascii="Arial" w:hAnsi="Arial" w:cs="Arial"/>
          <w:sz w:val="22"/>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322"/>
      </w:tblGrid>
      <w:tr w:rsidR="00102728" w:rsidRPr="00102728" w14:paraId="36538518" w14:textId="77777777" w:rsidTr="0027242E">
        <w:trPr>
          <w:jc w:val="center"/>
        </w:trPr>
        <w:tc>
          <w:tcPr>
            <w:tcW w:w="2555" w:type="pct"/>
          </w:tcPr>
          <w:p w14:paraId="4E7FF2DC" w14:textId="77777777" w:rsidR="00102728" w:rsidRPr="00102728" w:rsidRDefault="00102728" w:rsidP="00F36E2B">
            <w:pPr>
              <w:spacing w:before="0" w:after="0" w:line="264" w:lineRule="auto"/>
              <w:jc w:val="center"/>
              <w:rPr>
                <w:rFonts w:ascii="Arial" w:hAnsi="Arial" w:cs="Arial"/>
                <w:b/>
                <w:bCs/>
                <w:sz w:val="22"/>
              </w:rPr>
            </w:pPr>
            <w:r w:rsidRPr="00102728">
              <w:rPr>
                <w:rFonts w:ascii="Arial" w:hAnsi="Arial" w:cs="Arial"/>
                <w:b/>
                <w:bCs/>
                <w:sz w:val="22"/>
              </w:rPr>
              <w:t>MTRA. ELIZABETH NAVA GUTIÉRREZ</w:t>
            </w:r>
          </w:p>
          <w:p w14:paraId="1D94C73A" w14:textId="77777777" w:rsidR="00102728" w:rsidRPr="00102728" w:rsidRDefault="00102728" w:rsidP="00F36E2B">
            <w:pPr>
              <w:spacing w:before="0" w:after="0" w:line="264" w:lineRule="auto"/>
              <w:jc w:val="center"/>
              <w:rPr>
                <w:rFonts w:ascii="Arial" w:hAnsi="Arial" w:cs="Arial"/>
                <w:b/>
                <w:bCs/>
                <w:sz w:val="22"/>
              </w:rPr>
            </w:pPr>
            <w:r w:rsidRPr="00102728">
              <w:rPr>
                <w:rFonts w:ascii="Arial" w:hAnsi="Arial" w:cs="Arial"/>
                <w:b/>
                <w:bCs/>
                <w:sz w:val="22"/>
              </w:rPr>
              <w:t>CONSEJERA PRESIDENTA</w:t>
            </w:r>
          </w:p>
        </w:tc>
        <w:tc>
          <w:tcPr>
            <w:tcW w:w="2445" w:type="pct"/>
          </w:tcPr>
          <w:p w14:paraId="2BCD3941" w14:textId="77777777" w:rsidR="00102728" w:rsidRPr="00102728" w:rsidRDefault="00102728" w:rsidP="00F36E2B">
            <w:pPr>
              <w:spacing w:before="0" w:after="0" w:line="264" w:lineRule="auto"/>
              <w:jc w:val="center"/>
              <w:rPr>
                <w:rFonts w:ascii="Arial" w:hAnsi="Arial" w:cs="Arial"/>
                <w:b/>
                <w:bCs/>
                <w:sz w:val="22"/>
              </w:rPr>
            </w:pPr>
            <w:r w:rsidRPr="00102728">
              <w:rPr>
                <w:rFonts w:ascii="Arial" w:hAnsi="Arial" w:cs="Arial"/>
                <w:b/>
                <w:bCs/>
                <w:sz w:val="22"/>
              </w:rPr>
              <w:t>LIC. JORGE ALBERTO ZAVALA FRÍAS</w:t>
            </w:r>
          </w:p>
          <w:p w14:paraId="7B1A2D94" w14:textId="77777777" w:rsidR="00102728" w:rsidRPr="00102728" w:rsidRDefault="00102728" w:rsidP="00F36E2B">
            <w:pPr>
              <w:spacing w:before="0" w:after="0" w:line="264" w:lineRule="auto"/>
              <w:jc w:val="center"/>
              <w:rPr>
                <w:rFonts w:ascii="Arial" w:hAnsi="Arial" w:cs="Arial"/>
                <w:b/>
                <w:bCs/>
                <w:sz w:val="22"/>
              </w:rPr>
            </w:pPr>
            <w:r w:rsidRPr="00102728">
              <w:rPr>
                <w:rFonts w:ascii="Arial" w:hAnsi="Arial" w:cs="Arial"/>
                <w:b/>
                <w:bCs/>
                <w:sz w:val="22"/>
              </w:rPr>
              <w:t>SECRETARIO DEL CONSEJO</w:t>
            </w:r>
          </w:p>
        </w:tc>
      </w:tr>
    </w:tbl>
    <w:p w14:paraId="380F6C77" w14:textId="77777777" w:rsidR="009625BC" w:rsidRPr="000F4F8C" w:rsidRDefault="009625BC" w:rsidP="00A144F4">
      <w:pPr>
        <w:rPr>
          <w:rFonts w:ascii="Arial" w:hAnsi="Arial" w:cs="Arial"/>
        </w:rPr>
      </w:pPr>
    </w:p>
    <w:sectPr w:rsidR="009625BC" w:rsidRPr="000F4F8C" w:rsidSect="000F4F8C">
      <w:headerReference w:type="default" r:id="rId8"/>
      <w:footerReference w:type="default" r:id="rId9"/>
      <w:pgSz w:w="12240" w:h="15840" w:code="1"/>
      <w:pgMar w:top="2835"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78026" w14:textId="77777777" w:rsidR="007077A6" w:rsidRDefault="007077A6" w:rsidP="009625BC">
      <w:pPr>
        <w:spacing w:before="0" w:after="0" w:line="240" w:lineRule="auto"/>
      </w:pPr>
      <w:r>
        <w:separator/>
      </w:r>
    </w:p>
  </w:endnote>
  <w:endnote w:type="continuationSeparator" w:id="0">
    <w:p w14:paraId="3350D21E" w14:textId="77777777" w:rsidR="007077A6" w:rsidRDefault="007077A6" w:rsidP="009625B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A7FDB27C-087E-47EE-95B7-EB82CF499333}"/>
    <w:embedBold r:id="rId2" w:fontKey="{1DF757A6-30C1-40BF-819B-C243630D843E}"/>
    <w:embedItalic r:id="rId3" w:fontKey="{8DACE5BC-75D3-4F16-BC0B-92645E12CCE8}"/>
  </w:font>
  <w:font w:name="Exo">
    <w:altName w:val="Sitka Small"/>
    <w:charset w:val="00"/>
    <w:family w:val="auto"/>
    <w:pitch w:val="variable"/>
    <w:sig w:usb0="00000001" w:usb1="4000204B" w:usb2="00000000" w:usb3="00000000" w:csb0="00000193" w:csb1="00000000"/>
    <w:embedRegular r:id="rId4" w:fontKey="{8D54CAC9-3959-42D1-A2E0-1066C99FC0ED}"/>
    <w:embedBold r:id="rId5" w:fontKey="{D7B68B8A-8965-4DFA-8B10-BFC413B1EDCC}"/>
    <w:embedItalic r:id="rId6" w:fontKey="{A0F4938A-A72A-42BF-84AF-39F96EB43697}"/>
  </w:font>
  <w:font w:name="Aptos Display">
    <w:altName w:val="Arial"/>
    <w:charset w:val="00"/>
    <w:family w:val="swiss"/>
    <w:pitch w:val="variable"/>
    <w:sig w:usb0="00000001" w:usb1="00000003" w:usb2="00000000" w:usb3="00000000" w:csb0="0000019F" w:csb1="00000000"/>
    <w:embedRegular r:id="rId7" w:fontKey="{CA410425-3991-4D4B-9F0E-128FD92CB819}"/>
  </w:font>
  <w:font w:name="Segoe UI">
    <w:panose1 w:val="020B0502040204020203"/>
    <w:charset w:val="00"/>
    <w:family w:val="swiss"/>
    <w:pitch w:val="variable"/>
    <w:sig w:usb0="E4002EFF" w:usb1="C000E47F" w:usb2="00000009" w:usb3="00000000" w:csb0="000001FF" w:csb1="00000000"/>
    <w:embedRegular r:id="rId8" w:fontKey="{3676DE52-CCF7-42B2-A687-3053CEB264F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484667166"/>
      <w:docPartObj>
        <w:docPartGallery w:val="Page Numbers (Top of Page)"/>
        <w:docPartUnique/>
      </w:docPartObj>
    </w:sdtPr>
    <w:sdtEndPr/>
    <w:sdtContent>
      <w:p w14:paraId="5C90E9F1" w14:textId="5BD09500" w:rsidR="009625BC" w:rsidRPr="000F4F8C" w:rsidRDefault="009625BC" w:rsidP="009625BC">
        <w:pPr>
          <w:pStyle w:val="Piedepgina"/>
          <w:jc w:val="right"/>
          <w:rPr>
            <w:rFonts w:ascii="Arial" w:hAnsi="Arial" w:cs="Arial"/>
            <w:color w:val="993366"/>
            <w:sz w:val="20"/>
            <w:szCs w:val="20"/>
          </w:rPr>
        </w:pPr>
        <w:r w:rsidRPr="000F4F8C">
          <w:rPr>
            <w:rFonts w:ascii="Arial" w:hAnsi="Arial" w:cs="Arial"/>
            <w:b/>
            <w:bCs/>
            <w:color w:val="993366"/>
          </w:rPr>
          <w:t xml:space="preserve">Página </w:t>
        </w:r>
        <w:r w:rsidRPr="000F4F8C">
          <w:rPr>
            <w:rFonts w:ascii="Arial" w:hAnsi="Arial" w:cs="Arial"/>
            <w:b/>
            <w:bCs/>
            <w:color w:val="993366"/>
          </w:rPr>
          <w:fldChar w:fldCharType="begin"/>
        </w:r>
        <w:r w:rsidRPr="000F4F8C">
          <w:rPr>
            <w:rFonts w:ascii="Arial" w:hAnsi="Arial" w:cs="Arial"/>
            <w:b/>
            <w:bCs/>
            <w:color w:val="993366"/>
          </w:rPr>
          <w:instrText>PAGE</w:instrText>
        </w:r>
        <w:r w:rsidRPr="000F4F8C">
          <w:rPr>
            <w:rFonts w:ascii="Arial" w:hAnsi="Arial" w:cs="Arial"/>
            <w:b/>
            <w:bCs/>
            <w:color w:val="993366"/>
          </w:rPr>
          <w:fldChar w:fldCharType="separate"/>
        </w:r>
        <w:r w:rsidR="002B7D4A">
          <w:rPr>
            <w:rFonts w:ascii="Arial" w:hAnsi="Arial" w:cs="Arial"/>
            <w:b/>
            <w:bCs/>
            <w:noProof/>
            <w:color w:val="993366"/>
          </w:rPr>
          <w:t>12</w:t>
        </w:r>
        <w:r w:rsidRPr="000F4F8C">
          <w:rPr>
            <w:rFonts w:ascii="Arial" w:hAnsi="Arial" w:cs="Arial"/>
            <w:b/>
            <w:bCs/>
            <w:color w:val="993366"/>
          </w:rPr>
          <w:fldChar w:fldCharType="end"/>
        </w:r>
        <w:r w:rsidRPr="000F4F8C">
          <w:rPr>
            <w:rFonts w:ascii="Arial" w:hAnsi="Arial" w:cs="Arial"/>
            <w:b/>
            <w:bCs/>
            <w:color w:val="993366"/>
          </w:rPr>
          <w:t xml:space="preserve"> | </w:t>
        </w:r>
        <w:r w:rsidRPr="000F4F8C">
          <w:rPr>
            <w:rFonts w:ascii="Arial" w:hAnsi="Arial" w:cs="Arial"/>
            <w:b/>
            <w:bCs/>
            <w:color w:val="993366"/>
          </w:rPr>
          <w:fldChar w:fldCharType="begin"/>
        </w:r>
        <w:r w:rsidRPr="000F4F8C">
          <w:rPr>
            <w:rFonts w:ascii="Arial" w:hAnsi="Arial" w:cs="Arial"/>
            <w:b/>
            <w:bCs/>
            <w:color w:val="993366"/>
          </w:rPr>
          <w:instrText>NUMPAGES</w:instrText>
        </w:r>
        <w:r w:rsidRPr="000F4F8C">
          <w:rPr>
            <w:rFonts w:ascii="Arial" w:hAnsi="Arial" w:cs="Arial"/>
            <w:b/>
            <w:bCs/>
            <w:color w:val="993366"/>
          </w:rPr>
          <w:fldChar w:fldCharType="separate"/>
        </w:r>
        <w:r w:rsidR="002B7D4A">
          <w:rPr>
            <w:rFonts w:ascii="Arial" w:hAnsi="Arial" w:cs="Arial"/>
            <w:b/>
            <w:bCs/>
            <w:noProof/>
            <w:color w:val="993366"/>
          </w:rPr>
          <w:t>12</w:t>
        </w:r>
        <w:r w:rsidRPr="000F4F8C">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411BA" w14:textId="77777777" w:rsidR="007077A6" w:rsidRDefault="007077A6" w:rsidP="009625BC">
      <w:pPr>
        <w:spacing w:before="0" w:after="0" w:line="240" w:lineRule="auto"/>
      </w:pPr>
      <w:r>
        <w:separator/>
      </w:r>
    </w:p>
  </w:footnote>
  <w:footnote w:type="continuationSeparator" w:id="0">
    <w:p w14:paraId="5D3E1DE2" w14:textId="77777777" w:rsidR="007077A6" w:rsidRDefault="007077A6" w:rsidP="009625B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9625BC" w:rsidRPr="000F4F8C" w14:paraId="60322458" w14:textId="77777777" w:rsidTr="00F36E2B">
      <w:tc>
        <w:tcPr>
          <w:tcW w:w="1813" w:type="dxa"/>
        </w:tcPr>
        <w:p w14:paraId="1CA18DFD" w14:textId="77777777" w:rsidR="009625BC" w:rsidRPr="000F4F8C" w:rsidRDefault="009625BC" w:rsidP="009625BC">
          <w:pPr>
            <w:pStyle w:val="Encabezado"/>
            <w:rPr>
              <w:rFonts w:ascii="Arial" w:hAnsi="Arial" w:cs="Arial"/>
            </w:rPr>
          </w:pPr>
          <w:r w:rsidRPr="000F4F8C">
            <w:rPr>
              <w:rFonts w:ascii="Arial" w:hAnsi="Arial" w:cs="Arial"/>
              <w:b/>
              <w:noProof/>
              <w:sz w:val="32"/>
              <w:lang w:eastAsia="es-MX"/>
            </w:rPr>
            <w:drawing>
              <wp:inline distT="0" distB="0" distL="0" distR="0" wp14:anchorId="7EA93435" wp14:editId="3C44D934">
                <wp:extent cx="1014331" cy="1199403"/>
                <wp:effectExtent l="0" t="0" r="0" b="1270"/>
                <wp:docPr id="432887499" name="Imagen 432887499"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7CD0E871" w14:textId="77777777" w:rsidR="009625BC" w:rsidRPr="000F4F8C" w:rsidRDefault="009625BC" w:rsidP="009625BC">
          <w:pPr>
            <w:pStyle w:val="Encabezado"/>
            <w:spacing w:before="720"/>
            <w:jc w:val="center"/>
            <w:rPr>
              <w:rFonts w:ascii="Arial" w:hAnsi="Arial" w:cs="Arial"/>
              <w:b/>
              <w:bCs/>
              <w:spacing w:val="-10"/>
              <w:sz w:val="26"/>
              <w:szCs w:val="26"/>
            </w:rPr>
          </w:pPr>
          <w:r w:rsidRPr="000F4F8C">
            <w:rPr>
              <w:rFonts w:ascii="Arial" w:hAnsi="Arial" w:cs="Arial"/>
              <w:b/>
              <w:bCs/>
              <w:spacing w:val="-10"/>
              <w:sz w:val="26"/>
              <w:szCs w:val="26"/>
            </w:rPr>
            <w:t>INSTITUTO ELECTORAL Y DE PARTICIPACIÓN CIUDADANA DE TABASCO</w:t>
          </w:r>
        </w:p>
        <w:p w14:paraId="75722677" w14:textId="77777777" w:rsidR="009625BC" w:rsidRPr="000F4F8C" w:rsidRDefault="009625BC" w:rsidP="009625BC">
          <w:pPr>
            <w:pStyle w:val="Encabezado"/>
            <w:spacing w:before="60"/>
            <w:jc w:val="center"/>
            <w:rPr>
              <w:rFonts w:ascii="Arial" w:hAnsi="Arial" w:cs="Arial"/>
            </w:rPr>
          </w:pPr>
          <w:r w:rsidRPr="000F4F8C">
            <w:rPr>
              <w:rFonts w:ascii="Arial" w:hAnsi="Arial" w:cs="Arial"/>
              <w:b/>
              <w:bCs/>
              <w:sz w:val="28"/>
              <w:szCs w:val="28"/>
            </w:rPr>
            <w:t>CONSEJO ESTATAL</w:t>
          </w:r>
        </w:p>
      </w:tc>
      <w:tc>
        <w:tcPr>
          <w:tcW w:w="1560" w:type="dxa"/>
        </w:tcPr>
        <w:p w14:paraId="373AA754" w14:textId="77777777" w:rsidR="009625BC" w:rsidRPr="000F4F8C" w:rsidRDefault="009625BC" w:rsidP="009625BC">
          <w:pPr>
            <w:pStyle w:val="Encabezado"/>
            <w:spacing w:before="480"/>
            <w:jc w:val="right"/>
            <w:rPr>
              <w:rFonts w:ascii="Arial" w:hAnsi="Arial" w:cs="Arial"/>
            </w:rPr>
          </w:pPr>
          <w:r w:rsidRPr="000F4F8C">
            <w:rPr>
              <w:rFonts w:ascii="Arial" w:hAnsi="Arial" w:cs="Arial"/>
              <w:noProof/>
              <w:lang w:eastAsia="es-MX"/>
            </w:rPr>
            <w:drawing>
              <wp:inline distT="0" distB="0" distL="0" distR="0" wp14:anchorId="384D74C9" wp14:editId="0E861525">
                <wp:extent cx="921600" cy="756000"/>
                <wp:effectExtent l="0" t="0" r="0" b="6350"/>
                <wp:docPr id="29344479"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B66BB4B" w14:textId="5D01F376" w:rsidR="009625BC" w:rsidRPr="000F4F8C" w:rsidRDefault="000F4F8C" w:rsidP="000F4F8C">
    <w:pPr>
      <w:pStyle w:val="Encabezado"/>
      <w:jc w:val="right"/>
      <w:rPr>
        <w:rFonts w:ascii="Arial" w:hAnsi="Arial" w:cs="Arial"/>
        <w:b/>
      </w:rPr>
    </w:pPr>
    <w:r w:rsidRPr="000F4F8C">
      <w:rPr>
        <w:rFonts w:ascii="Arial" w:hAnsi="Arial" w:cs="Arial"/>
        <w:b/>
      </w:rPr>
      <w:t>CE/2025/059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6177B"/>
    <w:multiLevelType w:val="hybridMultilevel"/>
    <w:tmpl w:val="82683754"/>
    <w:lvl w:ilvl="0" w:tplc="62CC89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937B4E"/>
    <w:multiLevelType w:val="hybridMultilevel"/>
    <w:tmpl w:val="606436CE"/>
    <w:lvl w:ilvl="0" w:tplc="62CC899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C41692"/>
    <w:multiLevelType w:val="hybridMultilevel"/>
    <w:tmpl w:val="BF70C266"/>
    <w:lvl w:ilvl="0" w:tplc="53D6B5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D33D6A"/>
    <w:multiLevelType w:val="hybridMultilevel"/>
    <w:tmpl w:val="94782E46"/>
    <w:lvl w:ilvl="0" w:tplc="E146E4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FC29EE"/>
    <w:multiLevelType w:val="hybridMultilevel"/>
    <w:tmpl w:val="9422744E"/>
    <w:lvl w:ilvl="0" w:tplc="62CC89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9CD2C82"/>
    <w:multiLevelType w:val="hybridMultilevel"/>
    <w:tmpl w:val="593A7B0C"/>
    <w:lvl w:ilvl="0" w:tplc="62CC89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024FF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8D13C40"/>
    <w:multiLevelType w:val="hybridMultilevel"/>
    <w:tmpl w:val="70329FF2"/>
    <w:lvl w:ilvl="0" w:tplc="E146E4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44673D"/>
    <w:multiLevelType w:val="hybridMultilevel"/>
    <w:tmpl w:val="C77687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3"/>
  </w:num>
  <w:num w:numId="4">
    <w:abstractNumId w:val="4"/>
  </w:num>
  <w:num w:numId="5">
    <w:abstractNumId w:val="5"/>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13F"/>
    <w:rsid w:val="00050E98"/>
    <w:rsid w:val="000C113F"/>
    <w:rsid w:val="000F4F8C"/>
    <w:rsid w:val="00102728"/>
    <w:rsid w:val="00162035"/>
    <w:rsid w:val="001B7C97"/>
    <w:rsid w:val="00200EE9"/>
    <w:rsid w:val="0023193C"/>
    <w:rsid w:val="00231E32"/>
    <w:rsid w:val="0024316C"/>
    <w:rsid w:val="0027242E"/>
    <w:rsid w:val="002903CB"/>
    <w:rsid w:val="002A5485"/>
    <w:rsid w:val="002B0A37"/>
    <w:rsid w:val="002B7D4A"/>
    <w:rsid w:val="002D16F1"/>
    <w:rsid w:val="00400ECC"/>
    <w:rsid w:val="00437AE0"/>
    <w:rsid w:val="00476B30"/>
    <w:rsid w:val="00484C4B"/>
    <w:rsid w:val="00674BEC"/>
    <w:rsid w:val="006F5D05"/>
    <w:rsid w:val="007077A6"/>
    <w:rsid w:val="00710A6E"/>
    <w:rsid w:val="00715D35"/>
    <w:rsid w:val="0076649B"/>
    <w:rsid w:val="007A6487"/>
    <w:rsid w:val="007C6BB8"/>
    <w:rsid w:val="0082710C"/>
    <w:rsid w:val="008A4EBF"/>
    <w:rsid w:val="008B180F"/>
    <w:rsid w:val="008F16B2"/>
    <w:rsid w:val="0091432D"/>
    <w:rsid w:val="00914F31"/>
    <w:rsid w:val="00937525"/>
    <w:rsid w:val="009625BC"/>
    <w:rsid w:val="00A144F4"/>
    <w:rsid w:val="00A6513A"/>
    <w:rsid w:val="00A75EC3"/>
    <w:rsid w:val="00B76858"/>
    <w:rsid w:val="00BA1F72"/>
    <w:rsid w:val="00C46583"/>
    <w:rsid w:val="00CA1303"/>
    <w:rsid w:val="00D23E83"/>
    <w:rsid w:val="00D448D3"/>
    <w:rsid w:val="00D536BE"/>
    <w:rsid w:val="00D8697B"/>
    <w:rsid w:val="00D97577"/>
    <w:rsid w:val="00E51AFF"/>
    <w:rsid w:val="00E66FDE"/>
    <w:rsid w:val="00E76372"/>
    <w:rsid w:val="00E919C7"/>
    <w:rsid w:val="00E94D5B"/>
    <w:rsid w:val="00EA4E5D"/>
    <w:rsid w:val="00EA6943"/>
    <w:rsid w:val="00F00A94"/>
    <w:rsid w:val="00F66A8D"/>
    <w:rsid w:val="00FB3B92"/>
    <w:rsid w:val="00FB793D"/>
    <w:rsid w:val="00FF47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DD641"/>
  <w15:chartTrackingRefBased/>
  <w15:docId w15:val="{9EA9BD75-6645-420D-B66E-485223B8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13F"/>
    <w:pPr>
      <w:spacing w:before="240" w:after="240" w:line="276" w:lineRule="auto"/>
      <w:jc w:val="both"/>
    </w:pPr>
    <w:rPr>
      <w:rFonts w:ascii="Exo" w:hAnsi="Exo"/>
    </w:rPr>
  </w:style>
  <w:style w:type="paragraph" w:styleId="Ttulo1">
    <w:name w:val="heading 1"/>
    <w:basedOn w:val="Normal"/>
    <w:next w:val="Normal"/>
    <w:link w:val="Ttulo1Car"/>
    <w:uiPriority w:val="9"/>
    <w:qFormat/>
    <w:rsid w:val="000C113F"/>
    <w:pPr>
      <w:numPr>
        <w:numId w:val="9"/>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0C113F"/>
    <w:pPr>
      <w:numPr>
        <w:ilvl w:val="1"/>
        <w:numId w:val="9"/>
      </w:numPr>
      <w:spacing w:before="480"/>
      <w:outlineLvl w:val="1"/>
    </w:pPr>
    <w:rPr>
      <w:b/>
      <w:bCs/>
    </w:rPr>
  </w:style>
  <w:style w:type="paragraph" w:styleId="Ttulo3">
    <w:name w:val="heading 3"/>
    <w:basedOn w:val="Normal"/>
    <w:next w:val="Normal"/>
    <w:link w:val="Ttulo3Car"/>
    <w:uiPriority w:val="9"/>
    <w:semiHidden/>
    <w:unhideWhenUsed/>
    <w:qFormat/>
    <w:rsid w:val="000C113F"/>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C113F"/>
    <w:pPr>
      <w:keepNext/>
      <w:keepLines/>
      <w:numPr>
        <w:ilvl w:val="3"/>
        <w:numId w:val="9"/>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C113F"/>
    <w:pPr>
      <w:keepNext/>
      <w:keepLines/>
      <w:numPr>
        <w:ilvl w:val="4"/>
        <w:numId w:val="9"/>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C113F"/>
    <w:pPr>
      <w:keepNext/>
      <w:keepLines/>
      <w:numPr>
        <w:ilvl w:val="5"/>
        <w:numId w:val="9"/>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C113F"/>
    <w:pPr>
      <w:keepNext/>
      <w:keepLines/>
      <w:numPr>
        <w:ilvl w:val="6"/>
        <w:numId w:val="9"/>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C113F"/>
    <w:pPr>
      <w:keepNext/>
      <w:keepLines/>
      <w:numPr>
        <w:ilvl w:val="7"/>
        <w:numId w:val="9"/>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C113F"/>
    <w:pPr>
      <w:keepNext/>
      <w:keepLines/>
      <w:numPr>
        <w:ilvl w:val="8"/>
        <w:numId w:val="9"/>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13F"/>
    <w:rPr>
      <w:rFonts w:ascii="Exo" w:hAnsi="Exo"/>
      <w:b/>
      <w:bCs/>
      <w:sz w:val="28"/>
      <w:szCs w:val="28"/>
    </w:rPr>
  </w:style>
  <w:style w:type="character" w:customStyle="1" w:styleId="Ttulo2Car">
    <w:name w:val="Título 2 Car"/>
    <w:basedOn w:val="Fuentedeprrafopredeter"/>
    <w:link w:val="Ttulo2"/>
    <w:uiPriority w:val="9"/>
    <w:rsid w:val="000C113F"/>
    <w:rPr>
      <w:rFonts w:ascii="Exo" w:hAnsi="Exo"/>
      <w:b/>
      <w:bCs/>
    </w:rPr>
  </w:style>
  <w:style w:type="character" w:customStyle="1" w:styleId="Ttulo3Car">
    <w:name w:val="Título 3 Car"/>
    <w:basedOn w:val="Fuentedeprrafopredeter"/>
    <w:link w:val="Ttulo3"/>
    <w:uiPriority w:val="9"/>
    <w:semiHidden/>
    <w:rsid w:val="000C113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C113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C113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C113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C113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C113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C113F"/>
    <w:rPr>
      <w:rFonts w:eastAsiaTheme="majorEastAsia" w:cstheme="majorBidi"/>
      <w:color w:val="272727" w:themeColor="text1" w:themeTint="D8"/>
    </w:rPr>
  </w:style>
  <w:style w:type="paragraph" w:styleId="Ttulo">
    <w:name w:val="Title"/>
    <w:basedOn w:val="Normal"/>
    <w:next w:val="Normal"/>
    <w:link w:val="TtuloCar"/>
    <w:uiPriority w:val="10"/>
    <w:qFormat/>
    <w:rsid w:val="000C11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C113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C113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C113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C113F"/>
    <w:pPr>
      <w:spacing w:before="160"/>
      <w:jc w:val="center"/>
    </w:pPr>
    <w:rPr>
      <w:i/>
      <w:iCs/>
      <w:color w:val="404040" w:themeColor="text1" w:themeTint="BF"/>
    </w:rPr>
  </w:style>
  <w:style w:type="character" w:customStyle="1" w:styleId="CitaCar">
    <w:name w:val="Cita Car"/>
    <w:basedOn w:val="Fuentedeprrafopredeter"/>
    <w:link w:val="Cita"/>
    <w:uiPriority w:val="29"/>
    <w:rsid w:val="000C113F"/>
    <w:rPr>
      <w:i/>
      <w:iCs/>
      <w:color w:val="404040" w:themeColor="text1" w:themeTint="BF"/>
    </w:rPr>
  </w:style>
  <w:style w:type="paragraph" w:styleId="Prrafodelista">
    <w:name w:val="List Paragraph"/>
    <w:basedOn w:val="Normal"/>
    <w:uiPriority w:val="34"/>
    <w:qFormat/>
    <w:rsid w:val="000C113F"/>
    <w:pPr>
      <w:ind w:left="720"/>
      <w:contextualSpacing/>
    </w:pPr>
  </w:style>
  <w:style w:type="character" w:styleId="nfasisintenso">
    <w:name w:val="Intense Emphasis"/>
    <w:basedOn w:val="Fuentedeprrafopredeter"/>
    <w:uiPriority w:val="21"/>
    <w:qFormat/>
    <w:rsid w:val="000C113F"/>
    <w:rPr>
      <w:i/>
      <w:iCs/>
      <w:color w:val="0F4761" w:themeColor="accent1" w:themeShade="BF"/>
    </w:rPr>
  </w:style>
  <w:style w:type="paragraph" w:styleId="Citadestacada">
    <w:name w:val="Intense Quote"/>
    <w:basedOn w:val="Normal"/>
    <w:next w:val="Normal"/>
    <w:link w:val="CitadestacadaCar"/>
    <w:uiPriority w:val="30"/>
    <w:qFormat/>
    <w:rsid w:val="000C11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C113F"/>
    <w:rPr>
      <w:i/>
      <w:iCs/>
      <w:color w:val="0F4761" w:themeColor="accent1" w:themeShade="BF"/>
    </w:rPr>
  </w:style>
  <w:style w:type="character" w:styleId="Referenciaintensa">
    <w:name w:val="Intense Reference"/>
    <w:basedOn w:val="Fuentedeprrafopredeter"/>
    <w:uiPriority w:val="32"/>
    <w:qFormat/>
    <w:rsid w:val="000C113F"/>
    <w:rPr>
      <w:b/>
      <w:bCs/>
      <w:smallCaps/>
      <w:color w:val="0F4761" w:themeColor="accent1" w:themeShade="BF"/>
      <w:spacing w:val="5"/>
    </w:rPr>
  </w:style>
  <w:style w:type="table" w:styleId="Tablaconcuadrcula">
    <w:name w:val="Table Grid"/>
    <w:basedOn w:val="Tablanormal"/>
    <w:uiPriority w:val="39"/>
    <w:rsid w:val="00484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625B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9625BC"/>
    <w:rPr>
      <w:rFonts w:ascii="Exo" w:hAnsi="Exo"/>
    </w:rPr>
  </w:style>
  <w:style w:type="paragraph" w:styleId="Piedepgina">
    <w:name w:val="footer"/>
    <w:basedOn w:val="Normal"/>
    <w:link w:val="PiedepginaCar"/>
    <w:uiPriority w:val="99"/>
    <w:unhideWhenUsed/>
    <w:rsid w:val="009625B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625BC"/>
    <w:rPr>
      <w:rFonts w:ascii="Exo" w:hAnsi="Exo"/>
    </w:rPr>
  </w:style>
  <w:style w:type="paragraph" w:styleId="Textodeglobo">
    <w:name w:val="Balloon Text"/>
    <w:basedOn w:val="Normal"/>
    <w:link w:val="TextodegloboCar"/>
    <w:uiPriority w:val="99"/>
    <w:semiHidden/>
    <w:unhideWhenUsed/>
    <w:rsid w:val="002B7D4A"/>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7D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CBC39-C3B7-4248-910F-0C761F7DC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12</Pages>
  <Words>3677</Words>
  <Characters>20227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Coordinacion Tecnica</cp:lastModifiedBy>
  <cp:revision>42</cp:revision>
  <cp:lastPrinted>2025-05-13T22:04:00Z</cp:lastPrinted>
  <dcterms:created xsi:type="dcterms:W3CDTF">2025-05-09T19:56:00Z</dcterms:created>
  <dcterms:modified xsi:type="dcterms:W3CDTF">2025-05-13T22:05:00Z</dcterms:modified>
</cp:coreProperties>
</file>