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5345" w:rsidRDefault="005B27DD" w:rsidP="00CE285E">
      <w:pPr>
        <w:rPr>
          <w:rFonts w:ascii="Arial" w:hAnsi="Arial" w:cs="Arial"/>
          <w:b/>
          <w:sz w:val="24"/>
          <w:szCs w:val="24"/>
        </w:rPr>
      </w:pPr>
      <w:r w:rsidRPr="00A861A0">
        <w:rPr>
          <w:rFonts w:ascii="Arial" w:hAnsi="Arial" w:cs="Arial"/>
          <w:b/>
          <w:sz w:val="24"/>
          <w:szCs w:val="24"/>
        </w:rPr>
        <w:t>ACUERDO QUE, EMITE EL CONSEJO ESTATAL DEL INSTITUTO ELECTORAL Y DE PARTICIPACIÓN CIUDADANA DE TABASCO MEDIANTE EL CUAL APRUEBA LOS LINEAMIENTOS PARA LA CONSTITUCIÓN Y REGISTRO DE PARTIDOS POLÍTICOS LOCALES EN EL ESTADO LIBRE Y SOBERANO DE TABASCO</w:t>
      </w:r>
    </w:p>
    <w:p w:rsidR="005B27DD" w:rsidRPr="00A861A0" w:rsidRDefault="005B27DD" w:rsidP="00CE285E">
      <w:pPr>
        <w:rPr>
          <w:rFonts w:ascii="Arial" w:hAnsi="Arial" w:cs="Arial"/>
          <w:b/>
          <w:sz w:val="24"/>
          <w:szCs w:val="24"/>
        </w:rPr>
      </w:pPr>
    </w:p>
    <w:p w:rsidR="00952A51" w:rsidRDefault="00952A51" w:rsidP="00952A51">
      <w:pPr>
        <w:rPr>
          <w:rFonts w:ascii="Arial" w:hAnsi="Arial" w:cs="Arial"/>
          <w:bCs/>
          <w:sz w:val="23"/>
          <w:szCs w:val="23"/>
        </w:rPr>
      </w:pPr>
      <w:r w:rsidRPr="00A861A0">
        <w:rPr>
          <w:rFonts w:ascii="Arial" w:hAnsi="Arial" w:cs="Arial"/>
          <w:bCs/>
          <w:sz w:val="23"/>
          <w:szCs w:val="23"/>
        </w:rPr>
        <w:t>Para efectos del presente acuerdo se usarán las abreviaturas y definiciones siguientes:</w:t>
      </w:r>
    </w:p>
    <w:p w:rsidR="005B27DD" w:rsidRDefault="005B27DD" w:rsidP="00952A51">
      <w:pPr>
        <w:rPr>
          <w:rFonts w:ascii="Arial" w:hAnsi="Arial" w:cs="Arial"/>
          <w:bCs/>
          <w:sz w:val="23"/>
          <w:szCs w:val="23"/>
        </w:rPr>
      </w:pPr>
    </w:p>
    <w:tbl>
      <w:tblPr>
        <w:tblW w:w="4162" w:type="pct"/>
        <w:jc w:val="center"/>
        <w:tblBorders>
          <w:top w:val="single" w:sz="4" w:space="0" w:color="993366"/>
          <w:left w:val="single" w:sz="4" w:space="0" w:color="993366"/>
          <w:bottom w:val="single" w:sz="4" w:space="0" w:color="993366"/>
          <w:right w:val="single" w:sz="4" w:space="0" w:color="993366"/>
          <w:insideH w:val="single" w:sz="4" w:space="0" w:color="993366"/>
          <w:insideV w:val="single" w:sz="4" w:space="0" w:color="993366"/>
        </w:tblBorders>
        <w:tblLook w:val="04A0" w:firstRow="1" w:lastRow="0" w:firstColumn="1" w:lastColumn="0" w:noHBand="0" w:noVBand="1"/>
      </w:tblPr>
      <w:tblGrid>
        <w:gridCol w:w="2985"/>
        <w:gridCol w:w="4323"/>
      </w:tblGrid>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Consejo Estatal: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Consejo Estatal del Instituto Electoral y de Participación Ciudadana de Tabasco.</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Constitución Federal: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Constitución Política de los Estados Unidos Mexicanos.</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Constitución Local: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Constitución Política del Estado Libre y Soberano de Tabasco.</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INE:</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Instituto Nacional Electoral.</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Instituto:</w:t>
            </w:r>
          </w:p>
        </w:tc>
        <w:tc>
          <w:tcPr>
            <w:tcW w:w="2958" w:type="pct"/>
            <w:shd w:val="clear" w:color="auto" w:fill="auto"/>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Instituto Electoral y de Participación Ciudadana de Tabasco.</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Ley de Partidos:</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Ley General de Partidos Políticos.</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Ley Electoral: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Ley Electoral y de Partidos Políticos del Estado de Tabasco.</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Ley General: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Ley General de Instituciones y Procedimientos Electorales.</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Lineamientos para la verificación:</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Lineamientos para la verificación del número mínimo de personas afiliadas a las organizaciones de la ciudadanía interesadas en obtener su registro como Partido Político Local a partir del año 2025 aprobados por el Instituto Nacional Electoral.</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lastRenderedPageBreak/>
              <w:t>Lineamientos:</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Lineamientos para la constitución y registro de partidos políticos locales en el Estado Libre y Soberano de Tabasco</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Organismo electoral: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 xml:space="preserve">Organismo(s) público(s) local(es) electoral(es). </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Proceso Electoral:</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Proceso Electoral Local Ordinario 2023 – 2024.</w:t>
            </w:r>
          </w:p>
        </w:tc>
      </w:tr>
      <w:tr w:rsidR="008E31A2" w:rsidRPr="00A861A0" w:rsidTr="00E8617A">
        <w:trPr>
          <w:trHeight w:val="624"/>
          <w:jc w:val="center"/>
        </w:trPr>
        <w:tc>
          <w:tcPr>
            <w:tcW w:w="2042" w:type="pct"/>
            <w:shd w:val="clear" w:color="auto" w:fill="auto"/>
            <w:vAlign w:val="center"/>
          </w:tcPr>
          <w:p w:rsidR="004218EB" w:rsidRPr="005B27DD" w:rsidRDefault="004218EB" w:rsidP="00E8617A">
            <w:pPr>
              <w:spacing w:before="60" w:after="60" w:line="288" w:lineRule="auto"/>
              <w:ind w:left="57"/>
              <w:jc w:val="right"/>
              <w:rPr>
                <w:rFonts w:ascii="Arial" w:hAnsi="Arial" w:cs="Arial"/>
                <w:b/>
                <w:sz w:val="20"/>
                <w:szCs w:val="20"/>
              </w:rPr>
            </w:pPr>
            <w:r w:rsidRPr="005B27DD">
              <w:rPr>
                <w:rFonts w:ascii="Arial" w:hAnsi="Arial" w:cs="Arial"/>
                <w:b/>
                <w:sz w:val="20"/>
                <w:szCs w:val="20"/>
              </w:rPr>
              <w:t>Secretaría Ejecutiva:</w:t>
            </w:r>
          </w:p>
        </w:tc>
        <w:tc>
          <w:tcPr>
            <w:tcW w:w="2958" w:type="pct"/>
            <w:shd w:val="clear" w:color="auto" w:fill="auto"/>
            <w:vAlign w:val="center"/>
          </w:tcPr>
          <w:p w:rsidR="004218EB" w:rsidRPr="005B27DD" w:rsidRDefault="004218EB" w:rsidP="00E8617A">
            <w:pPr>
              <w:spacing w:before="60" w:after="60" w:line="288" w:lineRule="auto"/>
              <w:ind w:left="57"/>
              <w:rPr>
                <w:rFonts w:ascii="Arial" w:hAnsi="Arial" w:cs="Arial"/>
                <w:sz w:val="20"/>
                <w:szCs w:val="20"/>
              </w:rPr>
            </w:pPr>
            <w:r w:rsidRPr="005B27DD">
              <w:rPr>
                <w:rFonts w:ascii="Arial" w:hAnsi="Arial" w:cs="Arial"/>
                <w:sz w:val="20"/>
                <w:szCs w:val="20"/>
              </w:rPr>
              <w:t>Secretaría Ejecutiva del Instituto Electoral y de Participación Ciudadana de Tabasco.</w:t>
            </w:r>
          </w:p>
        </w:tc>
      </w:tr>
    </w:tbl>
    <w:p w:rsidR="005B27DD" w:rsidRDefault="005B27DD" w:rsidP="005B27DD">
      <w:pPr>
        <w:pStyle w:val="Ttulo1"/>
        <w:numPr>
          <w:ilvl w:val="0"/>
          <w:numId w:val="0"/>
        </w:numPr>
        <w:spacing w:before="0" w:after="0"/>
        <w:ind w:left="431"/>
        <w:jc w:val="both"/>
        <w:rPr>
          <w:rFonts w:ascii="Arial" w:hAnsi="Arial" w:cs="Arial"/>
          <w:color w:val="auto"/>
          <w:sz w:val="24"/>
        </w:rPr>
      </w:pPr>
    </w:p>
    <w:p w:rsidR="005B27DD" w:rsidRDefault="005B27DD" w:rsidP="005B27DD">
      <w:pPr>
        <w:pStyle w:val="Ttulo1"/>
        <w:numPr>
          <w:ilvl w:val="0"/>
          <w:numId w:val="0"/>
        </w:numPr>
        <w:spacing w:before="0" w:after="0"/>
        <w:ind w:left="431"/>
        <w:jc w:val="both"/>
        <w:rPr>
          <w:rFonts w:ascii="Arial" w:hAnsi="Arial" w:cs="Arial"/>
          <w:color w:val="auto"/>
          <w:sz w:val="24"/>
        </w:rPr>
      </w:pPr>
    </w:p>
    <w:p w:rsidR="005B27DD" w:rsidRDefault="005B27DD" w:rsidP="005B27DD">
      <w:pPr>
        <w:pStyle w:val="Ttulo1"/>
        <w:numPr>
          <w:ilvl w:val="0"/>
          <w:numId w:val="0"/>
        </w:numPr>
        <w:spacing w:before="0" w:after="0"/>
        <w:ind w:left="431"/>
        <w:jc w:val="both"/>
        <w:rPr>
          <w:rFonts w:ascii="Arial" w:hAnsi="Arial" w:cs="Arial"/>
          <w:color w:val="auto"/>
          <w:sz w:val="24"/>
        </w:rPr>
      </w:pPr>
      <w:bookmarkStart w:id="0" w:name="_GoBack"/>
      <w:bookmarkEnd w:id="0"/>
    </w:p>
    <w:p w:rsidR="00CE285E" w:rsidRPr="00A861A0" w:rsidRDefault="00CE285E" w:rsidP="005B27DD">
      <w:pPr>
        <w:pStyle w:val="Ttulo1"/>
        <w:spacing w:before="0" w:after="0"/>
        <w:ind w:left="431"/>
        <w:rPr>
          <w:rFonts w:ascii="Arial" w:hAnsi="Arial" w:cs="Arial"/>
          <w:color w:val="auto"/>
          <w:sz w:val="24"/>
        </w:rPr>
      </w:pPr>
      <w:r w:rsidRPr="00A861A0">
        <w:rPr>
          <w:rFonts w:ascii="Arial" w:hAnsi="Arial" w:cs="Arial"/>
          <w:color w:val="auto"/>
          <w:sz w:val="24"/>
        </w:rPr>
        <w:t>Antecedentes</w:t>
      </w:r>
    </w:p>
    <w:p w:rsidR="00CE285E" w:rsidRPr="00A861A0" w:rsidRDefault="00CE285E" w:rsidP="00E73215">
      <w:pPr>
        <w:pStyle w:val="Ttulo2"/>
        <w:rPr>
          <w:rFonts w:ascii="Arial" w:hAnsi="Arial" w:cs="Arial"/>
          <w:color w:val="auto"/>
          <w:sz w:val="23"/>
          <w:szCs w:val="23"/>
        </w:rPr>
      </w:pPr>
      <w:r w:rsidRPr="00A861A0">
        <w:rPr>
          <w:rFonts w:ascii="Arial" w:hAnsi="Arial" w:cs="Arial"/>
          <w:color w:val="auto"/>
          <w:sz w:val="23"/>
          <w:szCs w:val="23"/>
        </w:rPr>
        <w:t xml:space="preserve">Lineamientos </w:t>
      </w:r>
      <w:r w:rsidR="00EE3344" w:rsidRPr="00A861A0">
        <w:rPr>
          <w:rFonts w:ascii="Arial" w:hAnsi="Arial" w:cs="Arial"/>
          <w:color w:val="auto"/>
          <w:sz w:val="23"/>
          <w:szCs w:val="23"/>
        </w:rPr>
        <w:t>2018</w:t>
      </w:r>
    </w:p>
    <w:p w:rsidR="00CE285E" w:rsidRPr="00A861A0" w:rsidRDefault="00CE285E" w:rsidP="00CE285E">
      <w:pPr>
        <w:rPr>
          <w:rFonts w:ascii="Arial" w:hAnsi="Arial" w:cs="Arial"/>
          <w:sz w:val="23"/>
          <w:szCs w:val="23"/>
        </w:rPr>
      </w:pPr>
      <w:r w:rsidRPr="00A861A0">
        <w:rPr>
          <w:rFonts w:ascii="Arial" w:hAnsi="Arial" w:cs="Arial"/>
          <w:sz w:val="23"/>
          <w:szCs w:val="23"/>
        </w:rPr>
        <w:t>El 28 de noviembre de 2018, mediante acuerdo CE/2018/086, el Consejo Estatal aprobó los Lineamientos que debían observar las personas jurídico colectivas que pretendían constituir un partido político local.</w:t>
      </w:r>
    </w:p>
    <w:p w:rsidR="00CE285E" w:rsidRPr="00A861A0" w:rsidRDefault="00CE285E" w:rsidP="00E73215">
      <w:pPr>
        <w:pStyle w:val="Ttulo2"/>
        <w:rPr>
          <w:rFonts w:ascii="Arial" w:hAnsi="Arial" w:cs="Arial"/>
          <w:color w:val="auto"/>
          <w:sz w:val="23"/>
          <w:szCs w:val="23"/>
        </w:rPr>
      </w:pPr>
      <w:r w:rsidRPr="00A861A0">
        <w:rPr>
          <w:rFonts w:ascii="Arial" w:hAnsi="Arial" w:cs="Arial"/>
          <w:color w:val="auto"/>
          <w:sz w:val="23"/>
          <w:szCs w:val="23"/>
        </w:rPr>
        <w:t>Modificación a los Lineamientos</w:t>
      </w:r>
      <w:r w:rsidR="00655D10" w:rsidRPr="00A861A0">
        <w:rPr>
          <w:rFonts w:ascii="Arial" w:hAnsi="Arial" w:cs="Arial"/>
          <w:color w:val="auto"/>
          <w:sz w:val="23"/>
          <w:szCs w:val="23"/>
        </w:rPr>
        <w:t xml:space="preserve"> 2018</w:t>
      </w:r>
    </w:p>
    <w:p w:rsidR="00CE285E" w:rsidRPr="00A861A0" w:rsidRDefault="00CE285E" w:rsidP="00CE285E">
      <w:pPr>
        <w:rPr>
          <w:rFonts w:ascii="Arial" w:hAnsi="Arial" w:cs="Arial"/>
          <w:sz w:val="23"/>
          <w:szCs w:val="23"/>
        </w:rPr>
      </w:pPr>
      <w:r w:rsidRPr="00A861A0">
        <w:rPr>
          <w:rFonts w:ascii="Arial" w:hAnsi="Arial" w:cs="Arial"/>
          <w:sz w:val="23"/>
          <w:szCs w:val="23"/>
        </w:rPr>
        <w:t>El 11 de abril de 2019, mediante acuerdo CE/2019/07, el Consejo Estatal modificó los lineamientos que debían observar las personas jurídico colectivas, que pretendieran constituir un partido político local en el Estado libre y Soberano de Tabasco, en cumplimiento a la sentencia dictada por el Tribunal Electoral de Tabasco en el expediente TET-JDC-06/2019-I</w:t>
      </w:r>
      <w:r w:rsidR="00B053E7" w:rsidRPr="00A861A0">
        <w:rPr>
          <w:rFonts w:ascii="Arial" w:hAnsi="Arial" w:cs="Arial"/>
          <w:sz w:val="23"/>
          <w:szCs w:val="23"/>
        </w:rPr>
        <w:t>.</w:t>
      </w:r>
    </w:p>
    <w:p w:rsidR="00CE285E" w:rsidRPr="00A861A0" w:rsidRDefault="00CE285E" w:rsidP="00E73215">
      <w:pPr>
        <w:pStyle w:val="Ttulo2"/>
        <w:rPr>
          <w:rFonts w:ascii="Arial" w:hAnsi="Arial" w:cs="Arial"/>
          <w:color w:val="auto"/>
          <w:sz w:val="23"/>
          <w:szCs w:val="23"/>
        </w:rPr>
      </w:pPr>
      <w:r w:rsidRPr="00A861A0">
        <w:rPr>
          <w:rFonts w:ascii="Arial" w:hAnsi="Arial" w:cs="Arial"/>
          <w:color w:val="auto"/>
          <w:sz w:val="23"/>
          <w:szCs w:val="23"/>
        </w:rPr>
        <w:t>Proceso Electoral</w:t>
      </w:r>
    </w:p>
    <w:p w:rsidR="00CE285E" w:rsidRPr="00A861A0" w:rsidRDefault="00CE285E" w:rsidP="00CE285E">
      <w:pPr>
        <w:rPr>
          <w:rFonts w:ascii="Arial" w:hAnsi="Arial" w:cs="Arial"/>
          <w:sz w:val="23"/>
          <w:szCs w:val="23"/>
        </w:rPr>
      </w:pPr>
      <w:r w:rsidRPr="00A861A0">
        <w:rPr>
          <w:rFonts w:ascii="Arial" w:hAnsi="Arial" w:cs="Arial"/>
          <w:sz w:val="23"/>
          <w:szCs w:val="23"/>
        </w:rPr>
        <w:t xml:space="preserve">El 2 de junio de 2024, en términos del artículo 27 numeral 1 de la Ley Electoral se llevó a cabo la jornada electoral con motivo del Proceso Electoral Local Ordinario, en el que se </w:t>
      </w:r>
      <w:r w:rsidR="00E73215" w:rsidRPr="00A861A0">
        <w:rPr>
          <w:rFonts w:ascii="Arial" w:hAnsi="Arial" w:cs="Arial"/>
          <w:sz w:val="23"/>
          <w:szCs w:val="23"/>
        </w:rPr>
        <w:t>eligió al titular del Poder Ejecutivo, así como a las y los titulares de las Diputaciones al Congreso Local y de los 17 Ayuntamientos del Estado.</w:t>
      </w:r>
    </w:p>
    <w:p w:rsidR="00296A4D" w:rsidRPr="00A861A0" w:rsidRDefault="00296A4D" w:rsidP="006B2794">
      <w:pPr>
        <w:pStyle w:val="Ttulo2"/>
        <w:rPr>
          <w:rFonts w:ascii="Arial" w:hAnsi="Arial" w:cs="Arial"/>
          <w:color w:val="auto"/>
          <w:sz w:val="23"/>
          <w:szCs w:val="23"/>
        </w:rPr>
      </w:pPr>
      <w:r w:rsidRPr="00A861A0">
        <w:rPr>
          <w:rFonts w:ascii="Arial" w:hAnsi="Arial" w:cs="Arial"/>
          <w:color w:val="auto"/>
          <w:sz w:val="23"/>
          <w:szCs w:val="23"/>
        </w:rPr>
        <w:lastRenderedPageBreak/>
        <w:t>Criterio de interpretación</w:t>
      </w:r>
    </w:p>
    <w:p w:rsidR="00296A4D" w:rsidRPr="00A861A0" w:rsidRDefault="00296A4D" w:rsidP="00296A4D">
      <w:pPr>
        <w:rPr>
          <w:rFonts w:ascii="Arial" w:hAnsi="Arial" w:cs="Arial"/>
          <w:sz w:val="23"/>
          <w:szCs w:val="23"/>
        </w:rPr>
      </w:pPr>
      <w:r w:rsidRPr="00A861A0">
        <w:rPr>
          <w:rFonts w:ascii="Arial" w:hAnsi="Arial" w:cs="Arial"/>
          <w:sz w:val="23"/>
          <w:szCs w:val="23"/>
        </w:rPr>
        <w:t>El 26 de abril de 2019, el Consejo General del INE, mediante acuerdo INE/CG218/2019, aprobó el criterio de interpretación relativo a la competencia del Instituto para la fiscalización de las organizaciones ciudadanas que pretendan constituirse como partidos políticos locales.</w:t>
      </w:r>
    </w:p>
    <w:p w:rsidR="00A65A54" w:rsidRPr="00A861A0" w:rsidRDefault="00A65A54" w:rsidP="004D32B9">
      <w:pPr>
        <w:pStyle w:val="Ttulo2"/>
        <w:rPr>
          <w:rFonts w:ascii="Arial" w:hAnsi="Arial" w:cs="Arial"/>
          <w:color w:val="auto"/>
          <w:sz w:val="23"/>
          <w:szCs w:val="23"/>
        </w:rPr>
      </w:pPr>
      <w:r w:rsidRPr="00A861A0">
        <w:rPr>
          <w:rFonts w:ascii="Arial" w:hAnsi="Arial" w:cs="Arial"/>
          <w:color w:val="auto"/>
          <w:sz w:val="23"/>
          <w:szCs w:val="23"/>
        </w:rPr>
        <w:t>Lineamientos para la verificación</w:t>
      </w:r>
    </w:p>
    <w:p w:rsidR="00A65A54" w:rsidRPr="00A861A0" w:rsidRDefault="00A65A54" w:rsidP="00A65A54">
      <w:pPr>
        <w:rPr>
          <w:rFonts w:ascii="Arial" w:hAnsi="Arial" w:cs="Arial"/>
          <w:sz w:val="23"/>
          <w:szCs w:val="23"/>
        </w:rPr>
      </w:pPr>
      <w:r w:rsidRPr="00A861A0">
        <w:rPr>
          <w:rFonts w:ascii="Arial" w:hAnsi="Arial" w:cs="Arial"/>
          <w:sz w:val="23"/>
          <w:szCs w:val="23"/>
        </w:rPr>
        <w:t>El 30 de octubre de 2024, mediante acuerdo INE/CG2300/2024, el Consejo General del INE aprobó los lineamientos para la verificación del número mínimo de personas afiliadas a las organizaciones de la ciudadanía interesadas en constituirse como partido político local a partir del año 2025, los cuales establecen los criterios y elementos para que las organizaciones ciudadanas puedan acreditar el número mínimo de personas afiliadas con que deberán contar para obtener su registro como partido político local, los documentos con los que los partidos políticos nacionales y locales con registro vigente, cuya militancia se localice en más de un padrón de personas afiliadas, deberán acreditar la membresía de ésta, así como los procedimientos que los organismos electorales y el INE seguirán para evaluar el cumplimiento de estos requisitos.</w:t>
      </w:r>
    </w:p>
    <w:p w:rsidR="00CE285E" w:rsidRPr="00A861A0" w:rsidRDefault="00CE285E" w:rsidP="00E73215">
      <w:pPr>
        <w:pStyle w:val="Ttulo2"/>
        <w:rPr>
          <w:rFonts w:ascii="Arial" w:hAnsi="Arial" w:cs="Arial"/>
          <w:color w:val="auto"/>
          <w:sz w:val="23"/>
          <w:szCs w:val="23"/>
        </w:rPr>
      </w:pPr>
      <w:r w:rsidRPr="00A861A0">
        <w:rPr>
          <w:rFonts w:ascii="Arial" w:hAnsi="Arial" w:cs="Arial"/>
          <w:color w:val="auto"/>
          <w:sz w:val="23"/>
          <w:szCs w:val="23"/>
        </w:rPr>
        <w:t>Período para notificar el aviso de intención</w:t>
      </w:r>
    </w:p>
    <w:p w:rsidR="00CE285E" w:rsidRDefault="00CE285E" w:rsidP="00CE285E">
      <w:pPr>
        <w:rPr>
          <w:rFonts w:ascii="Arial" w:hAnsi="Arial" w:cs="Arial"/>
          <w:sz w:val="23"/>
          <w:szCs w:val="23"/>
        </w:rPr>
      </w:pPr>
      <w:r w:rsidRPr="00A861A0">
        <w:rPr>
          <w:rFonts w:ascii="Arial" w:hAnsi="Arial" w:cs="Arial"/>
          <w:sz w:val="23"/>
          <w:szCs w:val="23"/>
        </w:rPr>
        <w:t xml:space="preserve">De conformidad con el artículo 43 de la Ley Electoral, para constituir un partido político local, la organización interesada notificará ese propósito al Instituto en el mes de enero del año siguiente al de la elección a la Gubernatura. </w:t>
      </w:r>
    </w:p>
    <w:p w:rsidR="005B27DD" w:rsidRPr="00A861A0" w:rsidRDefault="005B27DD" w:rsidP="00CE285E">
      <w:pPr>
        <w:rPr>
          <w:rFonts w:ascii="Arial" w:hAnsi="Arial" w:cs="Arial"/>
          <w:sz w:val="23"/>
          <w:szCs w:val="23"/>
        </w:rPr>
      </w:pPr>
    </w:p>
    <w:p w:rsidR="00B053E7" w:rsidRPr="00A861A0" w:rsidRDefault="00B053E7" w:rsidP="00B053E7">
      <w:pPr>
        <w:pStyle w:val="Ttulo1"/>
        <w:rPr>
          <w:rFonts w:ascii="Arial" w:hAnsi="Arial" w:cs="Arial"/>
          <w:color w:val="auto"/>
          <w:sz w:val="24"/>
        </w:rPr>
      </w:pPr>
      <w:r w:rsidRPr="00A861A0">
        <w:rPr>
          <w:rFonts w:ascii="Arial" w:hAnsi="Arial" w:cs="Arial"/>
          <w:color w:val="auto"/>
          <w:sz w:val="24"/>
        </w:rPr>
        <w:t>Considerando</w:t>
      </w:r>
    </w:p>
    <w:p w:rsidR="00B053E7" w:rsidRPr="00A861A0" w:rsidRDefault="00B053E7" w:rsidP="00B053E7">
      <w:pPr>
        <w:pStyle w:val="Ttulo2"/>
        <w:rPr>
          <w:rFonts w:ascii="Arial" w:hAnsi="Arial" w:cs="Arial"/>
          <w:color w:val="auto"/>
          <w:sz w:val="23"/>
          <w:szCs w:val="23"/>
        </w:rPr>
      </w:pPr>
      <w:r w:rsidRPr="00A861A0">
        <w:rPr>
          <w:rFonts w:ascii="Arial" w:hAnsi="Arial" w:cs="Arial"/>
          <w:color w:val="auto"/>
          <w:sz w:val="23"/>
          <w:szCs w:val="23"/>
        </w:rPr>
        <w:t xml:space="preserve">Fines del Instituto </w:t>
      </w:r>
    </w:p>
    <w:p w:rsidR="00B053E7" w:rsidRPr="00A861A0" w:rsidRDefault="00B053E7" w:rsidP="00B053E7">
      <w:pPr>
        <w:rPr>
          <w:rFonts w:ascii="Arial" w:hAnsi="Arial" w:cs="Arial"/>
          <w:sz w:val="23"/>
          <w:szCs w:val="23"/>
        </w:rPr>
      </w:pPr>
      <w:r w:rsidRPr="00A861A0">
        <w:rPr>
          <w:rFonts w:ascii="Arial" w:hAnsi="Arial" w:cs="Arial"/>
          <w:sz w:val="23"/>
          <w:szCs w:val="23"/>
        </w:rPr>
        <w:t xml:space="preserve">Que, de conformidad con los artículos 9 apartado C, fracción I de la Constitución Local, 3 numeral 3, 100 y 102 numeral 1 de la Ley Electoral, el Instituto es un organismo público local de carácter permanente, autónomo en su funcionamiento, independiente en sus decisiones y profesional en su desempeño, dotado de personalidad jurídica y </w:t>
      </w:r>
      <w:r w:rsidRPr="00A861A0">
        <w:rPr>
          <w:rFonts w:ascii="Arial" w:hAnsi="Arial" w:cs="Arial"/>
          <w:sz w:val="23"/>
          <w:szCs w:val="23"/>
        </w:rPr>
        <w:lastRenderedPageBreak/>
        <w:t>patrimonio propio, cuyas actuaciones se rigen por los principios de certeza, legalidad, independencia, inclusión, imparcialidad, máxima publicidad, transparencia, rendición de cuentas, objetividad, paridad, interculturalidad y las realizarán con perspectiva de género y enfoque de derechos humanos.</w:t>
      </w:r>
    </w:p>
    <w:p w:rsidR="00B053E7" w:rsidRPr="00A861A0" w:rsidRDefault="00B053E7" w:rsidP="00B053E7">
      <w:pPr>
        <w:rPr>
          <w:rFonts w:ascii="Arial" w:hAnsi="Arial" w:cs="Arial"/>
          <w:sz w:val="23"/>
          <w:szCs w:val="23"/>
        </w:rPr>
      </w:pPr>
      <w:r w:rsidRPr="00A861A0">
        <w:rPr>
          <w:rFonts w:ascii="Arial" w:hAnsi="Arial" w:cs="Arial"/>
          <w:sz w:val="23"/>
          <w:szCs w:val="23"/>
        </w:rPr>
        <w:t>De acuerdo con el artículo 101 de la Ley Electoral, el Instituto tiene como finalidades: contribuir al desarrollo de la vida pública y democrática en el estado de Tabasco; preservar el fortalecimiento del régimen de partidos políticos; asegurar a las ciudadanas y ciudadanos el ejercicio de sus derechos políticos electorales y vigilar el cumplimiento de sus obligaciones; garantizar la celebración periódica y pacífica de las elecciones para renovar a las y los integrantes de los poderes Legislativo, Ejecutivo y los Ayuntamientos del Estado; velar por la autenticidad y efectividad del voto; llevar a cabo la promoción del voto y coadyuvar en la difusión de la educación cívica y de la cultura democrática; garantizar la paridad de género y el respeto de los derechos humanos de las mujeres en el ámbito político y electoral; y, organizar o coadyuvar a la realización de los ejercicios de consultas populares y demás formas de participación ciudadana, de conformidad con lo que dispongan las leyes.</w:t>
      </w:r>
    </w:p>
    <w:p w:rsidR="00B053E7" w:rsidRPr="00A861A0" w:rsidRDefault="00B053E7" w:rsidP="00B053E7">
      <w:pPr>
        <w:pStyle w:val="Ttulo2"/>
        <w:rPr>
          <w:rFonts w:ascii="Arial" w:hAnsi="Arial" w:cs="Arial"/>
          <w:color w:val="auto"/>
          <w:sz w:val="23"/>
          <w:szCs w:val="23"/>
        </w:rPr>
      </w:pPr>
      <w:r w:rsidRPr="00A861A0">
        <w:rPr>
          <w:rFonts w:ascii="Arial" w:hAnsi="Arial" w:cs="Arial"/>
          <w:color w:val="auto"/>
          <w:sz w:val="23"/>
          <w:szCs w:val="23"/>
        </w:rPr>
        <w:t xml:space="preserve">Órgano Superior de Dirección del Instituto </w:t>
      </w:r>
    </w:p>
    <w:p w:rsidR="00B053E7" w:rsidRPr="00A861A0" w:rsidRDefault="00B053E7" w:rsidP="00B053E7">
      <w:pPr>
        <w:rPr>
          <w:rFonts w:ascii="Arial" w:hAnsi="Arial" w:cs="Arial"/>
          <w:sz w:val="23"/>
          <w:szCs w:val="23"/>
        </w:rPr>
      </w:pPr>
      <w:r w:rsidRPr="00A861A0">
        <w:rPr>
          <w:rFonts w:ascii="Arial" w:hAnsi="Arial" w:cs="Arial"/>
          <w:sz w:val="23"/>
          <w:szCs w:val="23"/>
        </w:rPr>
        <w:t>Que, de acuerdo con el artículo 106 de la Ley Electoral, el Consejo Estatal es el órgano superior de dirección, responsable de vigilar el cumplimiento de las disposiciones constitucionales y legales en materia electoral, así como de velar que los principios de certeza, legalidad, independencia, máxima publicidad, imparcialidad, objetividad y paridad de género, guíen todas las actividades del Instituto.</w:t>
      </w:r>
    </w:p>
    <w:p w:rsidR="00B053E7" w:rsidRPr="00A861A0" w:rsidRDefault="00B053E7" w:rsidP="00B053E7">
      <w:pPr>
        <w:pStyle w:val="Ttulo2"/>
        <w:rPr>
          <w:rFonts w:ascii="Arial" w:hAnsi="Arial" w:cs="Arial"/>
          <w:color w:val="auto"/>
          <w:sz w:val="23"/>
          <w:szCs w:val="23"/>
        </w:rPr>
      </w:pPr>
      <w:r w:rsidRPr="00A861A0">
        <w:rPr>
          <w:rFonts w:ascii="Arial" w:hAnsi="Arial" w:cs="Arial"/>
          <w:color w:val="auto"/>
          <w:sz w:val="23"/>
          <w:szCs w:val="23"/>
        </w:rPr>
        <w:t>Integración del Órgano de Dirección Superior</w:t>
      </w:r>
    </w:p>
    <w:p w:rsidR="00B053E7" w:rsidRPr="00A861A0" w:rsidRDefault="00B053E7" w:rsidP="00B053E7">
      <w:pPr>
        <w:rPr>
          <w:rFonts w:ascii="Arial" w:hAnsi="Arial" w:cs="Arial"/>
          <w:sz w:val="23"/>
          <w:szCs w:val="23"/>
        </w:rPr>
      </w:pPr>
      <w:r w:rsidRPr="00A861A0">
        <w:rPr>
          <w:rFonts w:ascii="Arial" w:hAnsi="Arial" w:cs="Arial"/>
          <w:sz w:val="23"/>
          <w:szCs w:val="23"/>
        </w:rPr>
        <w:t>Que, los artículos 99 de la Ley General y 107 numeral 1 de la Ley Electoral, disponen que el Consejo se integrará por una Consejera o un Consejero Presidente y seis consejeras y consejeros electorales, con voz y voto; la Secretaria o el Secretario Ejecutivo y una o un representante por cada partido político con registro nacional o estatal, quienes concurrirán a las sesiones sólo con derecho a voz.</w:t>
      </w:r>
    </w:p>
    <w:p w:rsidR="00B053E7" w:rsidRPr="00A861A0" w:rsidRDefault="00B053E7" w:rsidP="00B053E7">
      <w:pPr>
        <w:pStyle w:val="Ttulo2"/>
        <w:rPr>
          <w:rFonts w:ascii="Arial" w:hAnsi="Arial" w:cs="Arial"/>
          <w:color w:val="auto"/>
          <w:sz w:val="23"/>
          <w:szCs w:val="23"/>
        </w:rPr>
      </w:pPr>
      <w:r w:rsidRPr="00A861A0">
        <w:rPr>
          <w:rFonts w:ascii="Arial" w:hAnsi="Arial" w:cs="Arial"/>
          <w:color w:val="auto"/>
          <w:sz w:val="23"/>
          <w:szCs w:val="23"/>
        </w:rPr>
        <w:lastRenderedPageBreak/>
        <w:t>Competencia del Consejo Estatal</w:t>
      </w:r>
    </w:p>
    <w:p w:rsidR="00B053E7" w:rsidRPr="00A861A0" w:rsidRDefault="00B053E7" w:rsidP="00B053E7">
      <w:pPr>
        <w:rPr>
          <w:rFonts w:ascii="Arial" w:hAnsi="Arial" w:cs="Arial"/>
          <w:sz w:val="23"/>
          <w:szCs w:val="23"/>
        </w:rPr>
      </w:pPr>
      <w:r w:rsidRPr="00A861A0">
        <w:rPr>
          <w:rFonts w:ascii="Arial" w:hAnsi="Arial" w:cs="Arial"/>
          <w:sz w:val="23"/>
          <w:szCs w:val="23"/>
        </w:rPr>
        <w:t xml:space="preserve">Que, de conformidad con el artículo 115 numeral 1, </w:t>
      </w:r>
      <w:r w:rsidR="00FE1C6A" w:rsidRPr="00A861A0">
        <w:rPr>
          <w:rFonts w:ascii="Arial" w:hAnsi="Arial" w:cs="Arial"/>
          <w:sz w:val="23"/>
          <w:szCs w:val="23"/>
        </w:rPr>
        <w:t>fracciones I y</w:t>
      </w:r>
      <w:r w:rsidRPr="00A861A0">
        <w:rPr>
          <w:rFonts w:ascii="Arial" w:hAnsi="Arial" w:cs="Arial"/>
          <w:sz w:val="23"/>
          <w:szCs w:val="23"/>
        </w:rPr>
        <w:t xml:space="preserve"> VII de la Ley Electoral, corresponde al Consejo Estatal</w:t>
      </w:r>
      <w:r w:rsidR="00FE1C6A" w:rsidRPr="00A861A0">
        <w:rPr>
          <w:rFonts w:ascii="Arial" w:hAnsi="Arial" w:cs="Arial"/>
          <w:sz w:val="23"/>
          <w:szCs w:val="23"/>
        </w:rPr>
        <w:t xml:space="preserve"> aplicar las disposiciones generales, reglas, lineamientos, criterios y formatos que, en ejercicio de las facultades que le confieren la Constitución Federal y la Ley General, establezca el INE; y </w:t>
      </w:r>
      <w:r w:rsidRPr="00A861A0">
        <w:rPr>
          <w:rFonts w:ascii="Arial" w:hAnsi="Arial" w:cs="Arial"/>
          <w:sz w:val="23"/>
          <w:szCs w:val="23"/>
        </w:rPr>
        <w:t>resolver, en los términos de dicha Ley, el otorgamiento de los registros a los partidos políticos locales y a las agrupaciones políticas, así como lo relativo sobre la pérdida del mismo en los casos previstos en la propia Ley, emitiendo la declaración correspondiente y ordenando su publicación en el Periódico Oficial del Estado.</w:t>
      </w:r>
    </w:p>
    <w:p w:rsidR="00B053E7" w:rsidRPr="00A861A0" w:rsidRDefault="00B053E7" w:rsidP="00B053E7">
      <w:pPr>
        <w:rPr>
          <w:rFonts w:ascii="Arial" w:hAnsi="Arial" w:cs="Arial"/>
          <w:sz w:val="23"/>
          <w:szCs w:val="23"/>
        </w:rPr>
      </w:pPr>
      <w:r w:rsidRPr="00A861A0">
        <w:rPr>
          <w:rFonts w:ascii="Arial" w:hAnsi="Arial" w:cs="Arial"/>
          <w:sz w:val="23"/>
          <w:szCs w:val="23"/>
        </w:rPr>
        <w:t>Acorde a lo anterior, el numeral 2 del artículo mencionado señala que, para el debido ejercicio de las facultades y atribuciones del Instituto, derivados de caso fortuito o causa de fuerza mayor; o en situaciones de falta o insuficiencia de previsión normativa o reglamentaria, el Consejo Estatal podrá dictar los acuerdos necesarios que resulten pertinentes para garantizar el oportuno y adecuado cumplimiento de las funciones que corresponda, siempre en apego a sus facultades y a los principios rectores de la función electoral.</w:t>
      </w:r>
    </w:p>
    <w:p w:rsidR="00B0401E" w:rsidRPr="00A861A0" w:rsidRDefault="00B0401E" w:rsidP="00B0401E">
      <w:pPr>
        <w:pStyle w:val="Ttulo2"/>
        <w:rPr>
          <w:rFonts w:ascii="Arial" w:hAnsi="Arial" w:cs="Arial"/>
          <w:color w:val="auto"/>
          <w:sz w:val="23"/>
          <w:szCs w:val="23"/>
        </w:rPr>
      </w:pPr>
      <w:r w:rsidRPr="00A861A0">
        <w:rPr>
          <w:rFonts w:ascii="Arial" w:hAnsi="Arial" w:cs="Arial"/>
          <w:color w:val="auto"/>
          <w:sz w:val="23"/>
          <w:szCs w:val="23"/>
        </w:rPr>
        <w:t>Derecho de asociación de las y los ciudadanos</w:t>
      </w:r>
    </w:p>
    <w:p w:rsidR="00B0401E" w:rsidRPr="00A861A0" w:rsidRDefault="00B0401E" w:rsidP="00B0401E">
      <w:pPr>
        <w:rPr>
          <w:rFonts w:ascii="Arial" w:hAnsi="Arial" w:cs="Arial"/>
          <w:sz w:val="23"/>
          <w:szCs w:val="23"/>
        </w:rPr>
      </w:pPr>
      <w:r w:rsidRPr="00A861A0">
        <w:rPr>
          <w:rFonts w:ascii="Arial" w:hAnsi="Arial" w:cs="Arial"/>
          <w:sz w:val="23"/>
          <w:szCs w:val="23"/>
        </w:rPr>
        <w:t>Que, el artículo 35 fracciones II y III de la Constitución Federal establece que, es derecho de la ciudadanía mexicana, ser votada para todos los cargos de elección popular a través de la solicitud de registro que efectúen los partidos políticos, o de manera independientes, así como asociarse individual y libremente para formar parte en forma pacífica en los asuntos políticos del país, para lo cual podrán crear partidos políticos y afiliarse libre e individualmente a ellos.</w:t>
      </w:r>
    </w:p>
    <w:p w:rsidR="00B0401E" w:rsidRPr="00A861A0" w:rsidRDefault="00B0401E" w:rsidP="00B0401E">
      <w:pPr>
        <w:rPr>
          <w:rFonts w:ascii="Arial" w:hAnsi="Arial" w:cs="Arial"/>
          <w:sz w:val="23"/>
          <w:szCs w:val="23"/>
        </w:rPr>
      </w:pPr>
      <w:r w:rsidRPr="00A861A0">
        <w:rPr>
          <w:rFonts w:ascii="Arial" w:hAnsi="Arial" w:cs="Arial"/>
          <w:sz w:val="23"/>
          <w:szCs w:val="23"/>
        </w:rPr>
        <w:t xml:space="preserve">Sobre ese derecho, la Suprema Corte de Justicia de la Nación ha sostenido que la libertad de asociación en materia política constituye un derecho público fundamental indispensable en todo régimen democrático, pues propicia el pluralismo político y la participación de la ciudadanía en la formación del gobierno y el control de su actuación, pero tampoco es absoluto o ilimitado, pues del propio texto del artículo 9o. constitucional se advierte que su ejercicio debe ser pacífico, tener un objeto lícito y </w:t>
      </w:r>
      <w:r w:rsidRPr="00A861A0">
        <w:rPr>
          <w:rFonts w:ascii="Arial" w:hAnsi="Arial" w:cs="Arial"/>
          <w:sz w:val="23"/>
          <w:szCs w:val="23"/>
        </w:rPr>
        <w:lastRenderedPageBreak/>
        <w:t>llevarse a cabo por ciudadanas y ciudadanos mexicanos, en pleno goce de sus derechos políticos, lo cual es acorde con el artículo mencionado</w:t>
      </w:r>
      <w:r w:rsidRPr="00A861A0">
        <w:rPr>
          <w:rStyle w:val="Refdenotaalpie"/>
          <w:rFonts w:ascii="Arial" w:hAnsi="Arial" w:cs="Arial"/>
          <w:sz w:val="23"/>
          <w:szCs w:val="23"/>
        </w:rPr>
        <w:footnoteReference w:id="1"/>
      </w:r>
      <w:r w:rsidRPr="00A861A0">
        <w:rPr>
          <w:rFonts w:ascii="Arial" w:hAnsi="Arial" w:cs="Arial"/>
          <w:sz w:val="23"/>
          <w:szCs w:val="23"/>
        </w:rPr>
        <w:t>.</w:t>
      </w:r>
    </w:p>
    <w:p w:rsidR="00B0401E" w:rsidRPr="00A861A0" w:rsidRDefault="00B0401E" w:rsidP="00B0401E">
      <w:pPr>
        <w:rPr>
          <w:rFonts w:ascii="Arial" w:hAnsi="Arial" w:cs="Arial"/>
          <w:sz w:val="23"/>
          <w:szCs w:val="23"/>
        </w:rPr>
      </w:pPr>
      <w:r w:rsidRPr="00A861A0">
        <w:rPr>
          <w:rFonts w:ascii="Arial" w:hAnsi="Arial" w:cs="Arial"/>
          <w:sz w:val="23"/>
          <w:szCs w:val="23"/>
        </w:rPr>
        <w:t>Acorde a lo anterior, la Sala Superior se ha pronunciado en</w:t>
      </w:r>
      <w:r w:rsidR="00404557" w:rsidRPr="00A861A0">
        <w:rPr>
          <w:rFonts w:ascii="Arial" w:hAnsi="Arial" w:cs="Arial"/>
          <w:sz w:val="23"/>
          <w:szCs w:val="23"/>
        </w:rPr>
        <w:t xml:space="preserve"> </w:t>
      </w:r>
      <w:r w:rsidRPr="00A861A0">
        <w:rPr>
          <w:rFonts w:ascii="Arial" w:hAnsi="Arial" w:cs="Arial"/>
          <w:sz w:val="23"/>
          <w:szCs w:val="23"/>
        </w:rPr>
        <w:t>el sentido de que el derecho de asociación en materia político-electoral</w:t>
      </w:r>
      <w:r w:rsidR="00404557" w:rsidRPr="00A861A0">
        <w:rPr>
          <w:rFonts w:ascii="Arial" w:hAnsi="Arial" w:cs="Arial"/>
          <w:sz w:val="23"/>
          <w:szCs w:val="23"/>
        </w:rPr>
        <w:t xml:space="preserve"> </w:t>
      </w:r>
      <w:r w:rsidRPr="00A861A0">
        <w:rPr>
          <w:rFonts w:ascii="Arial" w:hAnsi="Arial" w:cs="Arial"/>
          <w:sz w:val="23"/>
          <w:szCs w:val="23"/>
        </w:rPr>
        <w:t>es un derecho fundamental que propicia el pluralismo político y la</w:t>
      </w:r>
      <w:r w:rsidR="00404557" w:rsidRPr="00A861A0">
        <w:rPr>
          <w:rFonts w:ascii="Arial" w:hAnsi="Arial" w:cs="Arial"/>
          <w:sz w:val="23"/>
          <w:szCs w:val="23"/>
        </w:rPr>
        <w:t xml:space="preserve"> </w:t>
      </w:r>
      <w:r w:rsidRPr="00A861A0">
        <w:rPr>
          <w:rFonts w:ascii="Arial" w:hAnsi="Arial" w:cs="Arial"/>
          <w:sz w:val="23"/>
          <w:szCs w:val="23"/>
        </w:rPr>
        <w:t>participación de la ciudadanía en la formación del gobierno, que se</w:t>
      </w:r>
      <w:r w:rsidR="00404557" w:rsidRPr="00A861A0">
        <w:rPr>
          <w:rFonts w:ascii="Arial" w:hAnsi="Arial" w:cs="Arial"/>
          <w:sz w:val="23"/>
          <w:szCs w:val="23"/>
        </w:rPr>
        <w:t xml:space="preserve"> </w:t>
      </w:r>
      <w:r w:rsidRPr="00A861A0">
        <w:rPr>
          <w:rFonts w:ascii="Arial" w:hAnsi="Arial" w:cs="Arial"/>
          <w:sz w:val="23"/>
          <w:szCs w:val="23"/>
        </w:rPr>
        <w:t>encuentra inmerso en la base de la formación de los partidos políticos y</w:t>
      </w:r>
      <w:r w:rsidR="00404557" w:rsidRPr="00A861A0">
        <w:rPr>
          <w:rFonts w:ascii="Arial" w:hAnsi="Arial" w:cs="Arial"/>
          <w:sz w:val="23"/>
          <w:szCs w:val="23"/>
        </w:rPr>
        <w:t xml:space="preserve"> </w:t>
      </w:r>
      <w:r w:rsidRPr="00A861A0">
        <w:rPr>
          <w:rFonts w:ascii="Arial" w:hAnsi="Arial" w:cs="Arial"/>
          <w:sz w:val="23"/>
          <w:szCs w:val="23"/>
        </w:rPr>
        <w:t>asociaciones políticas; instituciones que se convierten en las</w:t>
      </w:r>
      <w:r w:rsidR="00404557" w:rsidRPr="00A861A0">
        <w:rPr>
          <w:rFonts w:ascii="Arial" w:hAnsi="Arial" w:cs="Arial"/>
          <w:sz w:val="23"/>
          <w:szCs w:val="23"/>
        </w:rPr>
        <w:t xml:space="preserve"> </w:t>
      </w:r>
      <w:r w:rsidRPr="00A861A0">
        <w:rPr>
          <w:rFonts w:ascii="Arial" w:hAnsi="Arial" w:cs="Arial"/>
          <w:sz w:val="23"/>
          <w:szCs w:val="23"/>
        </w:rPr>
        <w:t>herramientas para el ejercicio de dicha libertad, siempre que se cumplan</w:t>
      </w:r>
      <w:r w:rsidR="00404557" w:rsidRPr="00A861A0">
        <w:rPr>
          <w:rFonts w:ascii="Arial" w:hAnsi="Arial" w:cs="Arial"/>
          <w:sz w:val="23"/>
          <w:szCs w:val="23"/>
        </w:rPr>
        <w:t xml:space="preserve"> </w:t>
      </w:r>
      <w:r w:rsidRPr="00A861A0">
        <w:rPr>
          <w:rFonts w:ascii="Arial" w:hAnsi="Arial" w:cs="Arial"/>
          <w:sz w:val="23"/>
          <w:szCs w:val="23"/>
        </w:rPr>
        <w:t>las formas específicas que regulan legalmente su intervención en el</w:t>
      </w:r>
      <w:r w:rsidR="00404557" w:rsidRPr="00A861A0">
        <w:rPr>
          <w:rFonts w:ascii="Arial" w:hAnsi="Arial" w:cs="Arial"/>
          <w:sz w:val="23"/>
          <w:szCs w:val="23"/>
        </w:rPr>
        <w:t xml:space="preserve"> proceso electoral</w:t>
      </w:r>
      <w:r w:rsidR="00BE494F" w:rsidRPr="00A861A0">
        <w:rPr>
          <w:rStyle w:val="Refdenotaalpie"/>
          <w:rFonts w:ascii="Arial" w:hAnsi="Arial" w:cs="Arial"/>
          <w:sz w:val="23"/>
          <w:szCs w:val="23"/>
        </w:rPr>
        <w:footnoteReference w:id="2"/>
      </w:r>
      <w:r w:rsidR="00404557" w:rsidRPr="00A861A0">
        <w:rPr>
          <w:rFonts w:ascii="Arial" w:hAnsi="Arial" w:cs="Arial"/>
          <w:sz w:val="23"/>
          <w:szCs w:val="23"/>
        </w:rPr>
        <w:t>.</w:t>
      </w:r>
    </w:p>
    <w:p w:rsidR="00BF756E" w:rsidRPr="00A861A0" w:rsidRDefault="00BF756E" w:rsidP="00BF756E">
      <w:pPr>
        <w:pStyle w:val="Ttulo2"/>
        <w:rPr>
          <w:rFonts w:ascii="Arial" w:hAnsi="Arial" w:cs="Arial"/>
          <w:color w:val="auto"/>
          <w:sz w:val="23"/>
          <w:szCs w:val="23"/>
        </w:rPr>
      </w:pPr>
      <w:r w:rsidRPr="00A861A0">
        <w:rPr>
          <w:rFonts w:ascii="Arial" w:hAnsi="Arial" w:cs="Arial"/>
          <w:color w:val="auto"/>
          <w:sz w:val="23"/>
          <w:szCs w:val="23"/>
        </w:rPr>
        <w:t>Fines de los partidos políticos</w:t>
      </w:r>
    </w:p>
    <w:p w:rsidR="00BF756E" w:rsidRPr="00A861A0" w:rsidRDefault="00BF756E" w:rsidP="00BF756E">
      <w:pPr>
        <w:rPr>
          <w:rFonts w:ascii="Arial" w:hAnsi="Arial" w:cs="Arial"/>
          <w:sz w:val="23"/>
          <w:szCs w:val="23"/>
        </w:rPr>
      </w:pPr>
      <w:r w:rsidRPr="00A861A0">
        <w:rPr>
          <w:rFonts w:ascii="Arial" w:hAnsi="Arial" w:cs="Arial"/>
          <w:sz w:val="23"/>
          <w:szCs w:val="23"/>
        </w:rPr>
        <w:t>Que, en términos de los artículos 41 base I de la Constitución Federal, 9 apartado A, fracción I párrafo segundo de la Constitución Local, 3 numeral 1 de la Ley de Partidos y 33 numeral 4 de la Ley Electoral, los partidos políticos son entidades de interés público con personalidad jurídica y patrimonio propio, con registro legal ante el INE o ante los organismos electorales, que tienen como fin promover la participación del pueblo en la vida democrática, contribuir a la integración de los órganos de representación política y, como organizaciones ciudadanas, hacer posible el acceso de éstas al ejercicio del poder público de acuerdo con los programas, principios e ideas que postulan y mediante el sufragio universal, libre, secreto, directo, personal e intransferible, incluso a través de distintas formas de participación o asociación, con el fin de postular candidaturas. También, en dicho precepto constitucional se dispone que sólo las y los ciudadanos podrán formar partidos políticos y afiliarse libre e individualmente a ellos.</w:t>
      </w:r>
    </w:p>
    <w:p w:rsidR="00F201A9" w:rsidRPr="00A861A0" w:rsidRDefault="00F201A9" w:rsidP="00F201A9">
      <w:pPr>
        <w:pStyle w:val="Ttulo2"/>
        <w:rPr>
          <w:rFonts w:ascii="Arial" w:hAnsi="Arial" w:cs="Arial"/>
          <w:color w:val="auto"/>
          <w:sz w:val="23"/>
          <w:szCs w:val="23"/>
        </w:rPr>
      </w:pPr>
      <w:r w:rsidRPr="00A861A0">
        <w:rPr>
          <w:rFonts w:ascii="Arial" w:hAnsi="Arial" w:cs="Arial"/>
          <w:color w:val="auto"/>
          <w:sz w:val="23"/>
          <w:szCs w:val="23"/>
        </w:rPr>
        <w:t>Derecho de afiliación</w:t>
      </w:r>
    </w:p>
    <w:p w:rsidR="00F201A9" w:rsidRPr="00A861A0" w:rsidRDefault="00F201A9" w:rsidP="00F201A9">
      <w:pPr>
        <w:rPr>
          <w:rFonts w:ascii="Arial" w:hAnsi="Arial" w:cs="Arial"/>
          <w:sz w:val="23"/>
          <w:szCs w:val="23"/>
        </w:rPr>
      </w:pPr>
      <w:r w:rsidRPr="00A861A0">
        <w:rPr>
          <w:rFonts w:ascii="Arial" w:hAnsi="Arial" w:cs="Arial"/>
          <w:sz w:val="23"/>
          <w:szCs w:val="23"/>
        </w:rPr>
        <w:t>Que, el artículo 2 párrafo 1, inciso b) de la Ley de Partidos establece que son derechos político-electorales de las y los ciudadanos mexicanos, con relación a los partidos políticos, afiliarse libre e individualmente.</w:t>
      </w:r>
    </w:p>
    <w:p w:rsidR="00F201A9" w:rsidRPr="00A861A0" w:rsidRDefault="00F201A9" w:rsidP="00F201A9">
      <w:pPr>
        <w:rPr>
          <w:rFonts w:ascii="Arial" w:hAnsi="Arial" w:cs="Arial"/>
          <w:sz w:val="23"/>
          <w:szCs w:val="23"/>
        </w:rPr>
      </w:pPr>
      <w:r w:rsidRPr="00A861A0">
        <w:rPr>
          <w:rFonts w:ascii="Arial" w:hAnsi="Arial" w:cs="Arial"/>
          <w:sz w:val="23"/>
          <w:szCs w:val="23"/>
        </w:rPr>
        <w:lastRenderedPageBreak/>
        <w:t>Así, en el artículo 4, párrafo 1, inciso a) de dicha ley se define a las y los afiliados o militantes como aquellas ciudadanas y ciudadanos que, en pleno goce y ejercicio de sus derechos político-electorales, se registren libre, voluntaria e individualmente a un partido político.</w:t>
      </w:r>
    </w:p>
    <w:p w:rsidR="00F201A9" w:rsidRPr="00A861A0" w:rsidRDefault="00F201A9" w:rsidP="00F201A9">
      <w:pPr>
        <w:rPr>
          <w:rFonts w:ascii="Arial" w:hAnsi="Arial" w:cs="Arial"/>
          <w:sz w:val="23"/>
          <w:szCs w:val="23"/>
        </w:rPr>
      </w:pPr>
      <w:r w:rsidRPr="00A861A0">
        <w:rPr>
          <w:rFonts w:ascii="Arial" w:hAnsi="Arial" w:cs="Arial"/>
          <w:sz w:val="23"/>
          <w:szCs w:val="23"/>
        </w:rPr>
        <w:t>En ese contexto, la Sala Superior ha sostenido</w:t>
      </w:r>
      <w:r w:rsidR="00536F12" w:rsidRPr="00A861A0">
        <w:rPr>
          <w:rStyle w:val="Refdenotaalpie"/>
          <w:rFonts w:ascii="Arial" w:hAnsi="Arial" w:cs="Arial"/>
          <w:sz w:val="23"/>
          <w:szCs w:val="23"/>
        </w:rPr>
        <w:footnoteReference w:id="3"/>
      </w:r>
      <w:r w:rsidRPr="00A861A0">
        <w:rPr>
          <w:rFonts w:ascii="Arial" w:hAnsi="Arial" w:cs="Arial"/>
          <w:sz w:val="23"/>
          <w:szCs w:val="23"/>
        </w:rPr>
        <w:t xml:space="preserve"> que la afiliación es un derecho fundamental que se refiere expresamente a la prerrogativa de las y los ciudadanos mexicanos para asociarse libre e individualmente a los partidos políticos, que no sólo comprende la potestad de formar partidos políticos; sino también la prerrogativa de pertenecer a éstos, con todos los derechos inherentes a tal pertenencia, criterio recogido en la jurisprudencia 24/2002, de rubro: </w:t>
      </w:r>
      <w:r w:rsidRPr="00A861A0">
        <w:rPr>
          <w:rFonts w:ascii="Arial" w:hAnsi="Arial" w:cs="Arial"/>
          <w:b/>
          <w:sz w:val="23"/>
          <w:szCs w:val="23"/>
        </w:rPr>
        <w:t>“DERECHO DE AFILIACIÓN EN MATERIA POLÍTICO-ELECTORAL. CONTENIDO Y ALCANCES.”</w:t>
      </w:r>
      <w:r w:rsidRPr="00A861A0">
        <w:rPr>
          <w:rStyle w:val="Refdenotaalpie"/>
          <w:rFonts w:ascii="Arial" w:hAnsi="Arial" w:cs="Arial"/>
          <w:sz w:val="23"/>
          <w:szCs w:val="23"/>
        </w:rPr>
        <w:footnoteReference w:id="4"/>
      </w:r>
    </w:p>
    <w:p w:rsidR="00F201A9" w:rsidRPr="00A861A0" w:rsidRDefault="00F201A9" w:rsidP="00F201A9">
      <w:pPr>
        <w:rPr>
          <w:rFonts w:ascii="Arial" w:hAnsi="Arial" w:cs="Arial"/>
          <w:sz w:val="23"/>
          <w:szCs w:val="23"/>
        </w:rPr>
      </w:pPr>
      <w:r w:rsidRPr="00A861A0">
        <w:rPr>
          <w:rFonts w:ascii="Arial" w:hAnsi="Arial" w:cs="Arial"/>
          <w:sz w:val="23"/>
          <w:szCs w:val="23"/>
        </w:rPr>
        <w:t>En consonancia con el citado criterio jurisprudencial, el derecho fundamental de afiliación político-electoral consagrado constitucionalmente faculta a su titular para afiliarse o no libremente a un determinado partido político, conservar o ratificar su afiliación o, incluso, desafiliarse. Sin embargo, se trata de un derecho que se encuentra sujeto a las formas específicas reguladas por la legislación.</w:t>
      </w:r>
    </w:p>
    <w:p w:rsidR="0026665D" w:rsidRPr="00A861A0" w:rsidRDefault="0026665D" w:rsidP="0026665D">
      <w:pPr>
        <w:rPr>
          <w:rFonts w:ascii="Arial" w:hAnsi="Arial" w:cs="Arial"/>
          <w:sz w:val="23"/>
          <w:szCs w:val="23"/>
        </w:rPr>
      </w:pPr>
      <w:r w:rsidRPr="00A861A0">
        <w:rPr>
          <w:rFonts w:ascii="Arial" w:hAnsi="Arial" w:cs="Arial"/>
          <w:sz w:val="23"/>
          <w:szCs w:val="23"/>
        </w:rPr>
        <w:t xml:space="preserve">En ese sentido, la libertad de afiliación se encuentra sujeta, entre otros requisitos, a que </w:t>
      </w:r>
      <w:r w:rsidR="00984252" w:rsidRPr="00A861A0">
        <w:rPr>
          <w:rFonts w:ascii="Arial" w:hAnsi="Arial" w:cs="Arial"/>
          <w:sz w:val="23"/>
          <w:szCs w:val="23"/>
        </w:rPr>
        <w:t xml:space="preserve">las y </w:t>
      </w:r>
      <w:r w:rsidRPr="00A861A0">
        <w:rPr>
          <w:rFonts w:ascii="Arial" w:hAnsi="Arial" w:cs="Arial"/>
          <w:sz w:val="23"/>
          <w:szCs w:val="23"/>
        </w:rPr>
        <w:t>los ciudadanos no pueden asociarse, a la vez, a dos o más partidos políticos; sin que ello implique violar o coartar el derecho de asociación político-electoral de las y los ciudadanos, de conformidad con lo previsto en los artículos 18 y 42, de la Ley de Partidos.</w:t>
      </w:r>
    </w:p>
    <w:p w:rsidR="00984252" w:rsidRPr="00A861A0" w:rsidRDefault="00984252" w:rsidP="00984252">
      <w:pPr>
        <w:rPr>
          <w:rFonts w:ascii="Arial" w:hAnsi="Arial" w:cs="Arial"/>
          <w:sz w:val="23"/>
          <w:szCs w:val="23"/>
        </w:rPr>
      </w:pPr>
      <w:r w:rsidRPr="00A861A0">
        <w:rPr>
          <w:rFonts w:ascii="Arial" w:hAnsi="Arial" w:cs="Arial"/>
          <w:sz w:val="23"/>
          <w:szCs w:val="23"/>
        </w:rPr>
        <w:t>La razón de lo anterior es que permitir la afiliación múltiple conllevaría que la militancia no asumiera su deber de defender la ideología y propuestas de cada instituto político, lo que desnaturalizaría el sistema de partidos y vulnerarían principios democráticos, como el de igualdad jurídica.</w:t>
      </w:r>
    </w:p>
    <w:p w:rsidR="00984252" w:rsidRPr="00A861A0" w:rsidRDefault="00984252" w:rsidP="00984252">
      <w:pPr>
        <w:rPr>
          <w:rFonts w:ascii="Arial" w:hAnsi="Arial" w:cs="Arial"/>
          <w:sz w:val="23"/>
          <w:szCs w:val="23"/>
        </w:rPr>
      </w:pPr>
      <w:r w:rsidRPr="00A861A0">
        <w:rPr>
          <w:rFonts w:ascii="Arial" w:hAnsi="Arial" w:cs="Arial"/>
          <w:sz w:val="23"/>
          <w:szCs w:val="23"/>
        </w:rPr>
        <w:t>De ahí que la limitación de no pertenecer a más de un partido político — sean nacionales o locales—, no afecta el derecho de asociación político electoral de la ciudadanía, puesto que tienen el derecho de escoger el instituto político que les permita alcanzar sus aspiraciones políticas o bien solicitar la desafiliación del que dejó de cumplirlas y cambiar al que considere que sí lo hace.</w:t>
      </w:r>
    </w:p>
    <w:p w:rsidR="00D13BC9" w:rsidRPr="00A861A0" w:rsidRDefault="00D13BC9" w:rsidP="00D13BC9">
      <w:pPr>
        <w:pStyle w:val="Ttulo2"/>
        <w:rPr>
          <w:rFonts w:ascii="Arial" w:hAnsi="Arial" w:cs="Arial"/>
          <w:color w:val="auto"/>
          <w:sz w:val="23"/>
          <w:szCs w:val="23"/>
        </w:rPr>
      </w:pPr>
      <w:r w:rsidRPr="00A861A0">
        <w:rPr>
          <w:rFonts w:ascii="Arial" w:hAnsi="Arial" w:cs="Arial"/>
          <w:color w:val="auto"/>
          <w:sz w:val="23"/>
          <w:szCs w:val="23"/>
        </w:rPr>
        <w:lastRenderedPageBreak/>
        <w:t>Requisitos para constituir un partido político local</w:t>
      </w:r>
    </w:p>
    <w:p w:rsidR="00A3709B" w:rsidRPr="00A861A0" w:rsidRDefault="00D13BC9" w:rsidP="00A3709B">
      <w:pPr>
        <w:rPr>
          <w:rFonts w:ascii="Arial" w:hAnsi="Arial" w:cs="Arial"/>
          <w:sz w:val="23"/>
          <w:szCs w:val="23"/>
        </w:rPr>
      </w:pPr>
      <w:r w:rsidRPr="00A861A0">
        <w:rPr>
          <w:rFonts w:ascii="Arial" w:hAnsi="Arial" w:cs="Arial"/>
          <w:sz w:val="23"/>
          <w:szCs w:val="23"/>
        </w:rPr>
        <w:t xml:space="preserve">Que, el artículo </w:t>
      </w:r>
      <w:r w:rsidR="00A3709B" w:rsidRPr="00A861A0">
        <w:rPr>
          <w:rFonts w:ascii="Arial" w:hAnsi="Arial" w:cs="Arial"/>
          <w:sz w:val="23"/>
          <w:szCs w:val="23"/>
        </w:rPr>
        <w:t>10</w:t>
      </w:r>
      <w:r w:rsidRPr="00A861A0">
        <w:rPr>
          <w:rFonts w:ascii="Arial" w:hAnsi="Arial" w:cs="Arial"/>
          <w:sz w:val="23"/>
          <w:szCs w:val="23"/>
        </w:rPr>
        <w:t xml:space="preserve"> numeral</w:t>
      </w:r>
      <w:r w:rsidR="00A3709B" w:rsidRPr="00A861A0">
        <w:rPr>
          <w:rFonts w:ascii="Arial" w:hAnsi="Arial" w:cs="Arial"/>
          <w:sz w:val="23"/>
          <w:szCs w:val="23"/>
        </w:rPr>
        <w:t>es</w:t>
      </w:r>
      <w:r w:rsidRPr="00A861A0">
        <w:rPr>
          <w:rFonts w:ascii="Arial" w:hAnsi="Arial" w:cs="Arial"/>
          <w:sz w:val="23"/>
          <w:szCs w:val="23"/>
        </w:rPr>
        <w:t xml:space="preserve"> 1 </w:t>
      </w:r>
      <w:r w:rsidR="00A3709B" w:rsidRPr="00A861A0">
        <w:rPr>
          <w:rFonts w:ascii="Arial" w:hAnsi="Arial" w:cs="Arial"/>
          <w:sz w:val="23"/>
          <w:szCs w:val="23"/>
        </w:rPr>
        <w:t xml:space="preserve">y 2 </w:t>
      </w:r>
      <w:r w:rsidRPr="00A861A0">
        <w:rPr>
          <w:rFonts w:ascii="Arial" w:hAnsi="Arial" w:cs="Arial"/>
          <w:sz w:val="23"/>
          <w:szCs w:val="23"/>
        </w:rPr>
        <w:t xml:space="preserve">de la Ley </w:t>
      </w:r>
      <w:r w:rsidR="00A3709B" w:rsidRPr="00A861A0">
        <w:rPr>
          <w:rFonts w:ascii="Arial" w:hAnsi="Arial" w:cs="Arial"/>
          <w:sz w:val="23"/>
          <w:szCs w:val="23"/>
        </w:rPr>
        <w:t xml:space="preserve">de Partidos </w:t>
      </w:r>
      <w:r w:rsidRPr="00A861A0">
        <w:rPr>
          <w:rFonts w:ascii="Arial" w:hAnsi="Arial" w:cs="Arial"/>
          <w:sz w:val="23"/>
          <w:szCs w:val="23"/>
        </w:rPr>
        <w:t>dispone que,</w:t>
      </w:r>
      <w:r w:rsidR="00A3709B" w:rsidRPr="00A861A0">
        <w:rPr>
          <w:rFonts w:ascii="Arial" w:hAnsi="Arial" w:cs="Arial"/>
          <w:sz w:val="23"/>
          <w:szCs w:val="23"/>
        </w:rPr>
        <w:t xml:space="preserve"> las organizaciones ciudadanas que pretendan constituirse en partido político nacional o local deberán obtener su registro ante el INE o ante el Organismo Público Local, que corresponda. En ese sentido, para que una organización ciudadana sea registrada como partido político, se deberá verificar que ésta cumpla con los requisitos siguientes:</w:t>
      </w:r>
    </w:p>
    <w:p w:rsidR="00A3709B" w:rsidRPr="00A861A0" w:rsidRDefault="00A3709B" w:rsidP="00C2391E">
      <w:pPr>
        <w:pStyle w:val="Prrafodelista"/>
        <w:numPr>
          <w:ilvl w:val="0"/>
          <w:numId w:val="7"/>
        </w:numPr>
        <w:ind w:left="703" w:hanging="703"/>
        <w:contextualSpacing w:val="0"/>
        <w:rPr>
          <w:rFonts w:ascii="Arial" w:hAnsi="Arial" w:cs="Arial"/>
          <w:sz w:val="23"/>
          <w:szCs w:val="23"/>
        </w:rPr>
      </w:pPr>
      <w:r w:rsidRPr="00A861A0">
        <w:rPr>
          <w:rFonts w:ascii="Arial" w:hAnsi="Arial" w:cs="Arial"/>
          <w:sz w:val="23"/>
          <w:szCs w:val="23"/>
        </w:rPr>
        <w:t>Presentar una declaración de principios y, en congruencia con éstos, su programa de acción y los estatutos que normarán sus actividades; los cuales deberán satisfacer los requisitos mínimos establecidos en esta Ley;</w:t>
      </w:r>
    </w:p>
    <w:p w:rsidR="00A3709B" w:rsidRPr="00A861A0" w:rsidRDefault="00A3709B" w:rsidP="00C2391E">
      <w:pPr>
        <w:pStyle w:val="Prrafodelista"/>
        <w:numPr>
          <w:ilvl w:val="0"/>
          <w:numId w:val="7"/>
        </w:numPr>
        <w:ind w:left="703" w:hanging="703"/>
        <w:contextualSpacing w:val="0"/>
        <w:rPr>
          <w:rFonts w:ascii="Arial" w:hAnsi="Arial" w:cs="Arial"/>
          <w:sz w:val="23"/>
          <w:szCs w:val="23"/>
        </w:rPr>
      </w:pPr>
      <w:r w:rsidRPr="00A861A0">
        <w:rPr>
          <w:rFonts w:ascii="Arial" w:hAnsi="Arial" w:cs="Arial"/>
          <w:sz w:val="23"/>
          <w:szCs w:val="23"/>
        </w:rPr>
        <w:t>Tratándose de partidos políticos nacionales, contar con tres mil militantes en por lo menos veinte entidades federativas, o bien tener trescientos militantes, en por lo menos doscientos distritos electorales uninominales, los cuales deberán contar con credencial para votar en dicha entidad o distrito, según sea el caso; bajo ninguna circunstancia, el número total de sus militantes en el país podrá ser inferior al 0.26 por ciento del padrón electoral federal que haya sido utilizado en la elección federal ordinaria inmediata anterior a la presentación de la solicitud de que se trate, y</w:t>
      </w:r>
    </w:p>
    <w:p w:rsidR="00A3709B" w:rsidRPr="00A861A0" w:rsidRDefault="00A3709B" w:rsidP="00C2391E">
      <w:pPr>
        <w:pStyle w:val="Prrafodelista"/>
        <w:numPr>
          <w:ilvl w:val="0"/>
          <w:numId w:val="7"/>
        </w:numPr>
        <w:ind w:left="703" w:hanging="703"/>
        <w:contextualSpacing w:val="0"/>
        <w:rPr>
          <w:rFonts w:ascii="Arial" w:hAnsi="Arial" w:cs="Arial"/>
          <w:sz w:val="23"/>
          <w:szCs w:val="23"/>
        </w:rPr>
      </w:pPr>
      <w:r w:rsidRPr="00A861A0">
        <w:rPr>
          <w:rFonts w:ascii="Arial" w:hAnsi="Arial" w:cs="Arial"/>
          <w:sz w:val="23"/>
          <w:szCs w:val="23"/>
        </w:rPr>
        <w:t>Tratándose de partidos políticos locales, contar con militantes en cuando menos dos terceras partes de los municipios de la entidad o de las demarcaciones territoriales del Distrito Federal; los cuales deberán contar con credencial para votar en dichos municipios o demarcaciones; bajo ninguna circunstancia, el número total de sus militantes en la entidad podrá ser inferior al 0.26 por ciento del padrón electoral que haya sido utilizado en la elección local ordinaria inmediata anterior a la presentación de la solicitud de que se trate.</w:t>
      </w:r>
    </w:p>
    <w:p w:rsidR="00E14A9E" w:rsidRPr="00A861A0" w:rsidRDefault="00E14A9E" w:rsidP="00986374">
      <w:pPr>
        <w:pStyle w:val="Ttulo2"/>
        <w:rPr>
          <w:rFonts w:ascii="Arial" w:hAnsi="Arial" w:cs="Arial"/>
          <w:color w:val="auto"/>
          <w:sz w:val="23"/>
          <w:szCs w:val="23"/>
        </w:rPr>
      </w:pPr>
      <w:r w:rsidRPr="00A861A0">
        <w:rPr>
          <w:rFonts w:ascii="Arial" w:hAnsi="Arial" w:cs="Arial"/>
          <w:color w:val="auto"/>
          <w:sz w:val="23"/>
          <w:szCs w:val="23"/>
        </w:rPr>
        <w:t>Inaplicabilidad del</w:t>
      </w:r>
      <w:r w:rsidR="00986374" w:rsidRPr="00A861A0">
        <w:rPr>
          <w:rFonts w:ascii="Arial" w:hAnsi="Arial" w:cs="Arial"/>
          <w:color w:val="auto"/>
          <w:sz w:val="23"/>
          <w:szCs w:val="23"/>
        </w:rPr>
        <w:t xml:space="preserve"> porcentaje señalado en el</w:t>
      </w:r>
      <w:r w:rsidRPr="00A861A0">
        <w:rPr>
          <w:rFonts w:ascii="Arial" w:hAnsi="Arial" w:cs="Arial"/>
          <w:color w:val="auto"/>
          <w:sz w:val="23"/>
          <w:szCs w:val="23"/>
        </w:rPr>
        <w:t xml:space="preserve"> inciso a) fracción IV del artículo 39 de la Ley Electoral</w:t>
      </w:r>
    </w:p>
    <w:p w:rsidR="00E14A9E" w:rsidRPr="00A861A0" w:rsidRDefault="00ED0F36" w:rsidP="00E14A9E">
      <w:pPr>
        <w:rPr>
          <w:rFonts w:ascii="Arial" w:hAnsi="Arial" w:cs="Arial"/>
          <w:sz w:val="23"/>
          <w:szCs w:val="23"/>
        </w:rPr>
      </w:pPr>
      <w:r w:rsidRPr="00A861A0">
        <w:rPr>
          <w:rFonts w:ascii="Arial" w:hAnsi="Arial" w:cs="Arial"/>
          <w:sz w:val="23"/>
          <w:szCs w:val="23"/>
        </w:rPr>
        <w:t xml:space="preserve">Que, </w:t>
      </w:r>
      <w:r w:rsidR="00A3709B" w:rsidRPr="00A861A0">
        <w:rPr>
          <w:rFonts w:ascii="Arial" w:hAnsi="Arial" w:cs="Arial"/>
          <w:sz w:val="23"/>
          <w:szCs w:val="23"/>
        </w:rPr>
        <w:t>el Tribunal Electoral de Tabasco al resolver el juicio TET-JDC-06/2019-I.</w:t>
      </w:r>
    </w:p>
    <w:p w:rsidR="00D13BC9" w:rsidRPr="00A861A0" w:rsidRDefault="00D13BC9" w:rsidP="00D13BC9">
      <w:pPr>
        <w:pStyle w:val="Ttulo2"/>
        <w:rPr>
          <w:rFonts w:ascii="Arial" w:hAnsi="Arial" w:cs="Arial"/>
          <w:color w:val="auto"/>
          <w:sz w:val="23"/>
          <w:szCs w:val="23"/>
        </w:rPr>
      </w:pPr>
      <w:r w:rsidRPr="00A861A0">
        <w:rPr>
          <w:rFonts w:ascii="Arial" w:hAnsi="Arial" w:cs="Arial"/>
          <w:color w:val="auto"/>
          <w:sz w:val="23"/>
          <w:szCs w:val="23"/>
        </w:rPr>
        <w:t>Procedimiento para constituir un partido político local</w:t>
      </w:r>
    </w:p>
    <w:p w:rsidR="00C2391E" w:rsidRPr="00A861A0" w:rsidRDefault="00D13BC9" w:rsidP="00C2391E">
      <w:pPr>
        <w:rPr>
          <w:rFonts w:ascii="Arial" w:hAnsi="Arial" w:cs="Arial"/>
          <w:sz w:val="23"/>
          <w:szCs w:val="23"/>
        </w:rPr>
      </w:pPr>
      <w:r w:rsidRPr="00A861A0">
        <w:rPr>
          <w:rFonts w:ascii="Arial" w:hAnsi="Arial" w:cs="Arial"/>
          <w:sz w:val="23"/>
          <w:szCs w:val="23"/>
        </w:rPr>
        <w:t xml:space="preserve">Que, el artículo </w:t>
      </w:r>
      <w:r w:rsidR="00C2391E" w:rsidRPr="00A861A0">
        <w:rPr>
          <w:rFonts w:ascii="Arial" w:hAnsi="Arial" w:cs="Arial"/>
          <w:sz w:val="23"/>
          <w:szCs w:val="23"/>
        </w:rPr>
        <w:t xml:space="preserve">11 numerales 1 y 2 de la Ley de Partidos establece que la organización ciudadana que pretenda constituirse en partido político para obtener su registro ante el </w:t>
      </w:r>
      <w:r w:rsidR="00C2391E" w:rsidRPr="00A861A0">
        <w:rPr>
          <w:rFonts w:ascii="Arial" w:hAnsi="Arial" w:cs="Arial"/>
          <w:sz w:val="23"/>
          <w:szCs w:val="23"/>
        </w:rPr>
        <w:lastRenderedPageBreak/>
        <w:t>INE deberá, tratándose de partidos políticos nacionales, o ante el organismo electoral que corresponda, en el caso de partidos políticos locales informar tal propósito a la autoridad que corresponda en el mes de enero del año siguiente al de la elección de Presidencia de los Estados Unidos Mexicanos, en el caso de registro nacional, o de Gubernatura, tratándose de registro local.</w:t>
      </w:r>
    </w:p>
    <w:p w:rsidR="00C2391E" w:rsidRPr="00A861A0" w:rsidRDefault="00C2391E" w:rsidP="00C2391E">
      <w:pPr>
        <w:rPr>
          <w:rFonts w:ascii="Arial" w:hAnsi="Arial" w:cs="Arial"/>
          <w:sz w:val="23"/>
          <w:szCs w:val="23"/>
        </w:rPr>
      </w:pPr>
      <w:r w:rsidRPr="00A861A0">
        <w:rPr>
          <w:rFonts w:ascii="Arial" w:hAnsi="Arial" w:cs="Arial"/>
          <w:sz w:val="23"/>
          <w:szCs w:val="23"/>
        </w:rPr>
        <w:t>Asimismo, a partir del momento del aviso a que se refiere el párrafo anterior, hasta la resolución sobre la procedencia del registro, la organización informará mensualmente al INE sobre el origen y destino de sus recursos, dentro de los primeros diez días de cada mes.</w:t>
      </w:r>
    </w:p>
    <w:p w:rsidR="00C2391E" w:rsidRPr="00A861A0" w:rsidRDefault="00C2391E" w:rsidP="00C2391E">
      <w:pPr>
        <w:rPr>
          <w:rFonts w:ascii="Arial" w:hAnsi="Arial" w:cs="Arial"/>
          <w:sz w:val="23"/>
          <w:szCs w:val="23"/>
        </w:rPr>
      </w:pPr>
      <w:r w:rsidRPr="00A861A0">
        <w:rPr>
          <w:rFonts w:ascii="Arial" w:hAnsi="Arial" w:cs="Arial"/>
          <w:sz w:val="23"/>
          <w:szCs w:val="23"/>
        </w:rPr>
        <w:t xml:space="preserve">Por su parte, el artículo 13 numeral 1 de la Ley de Partidos establece </w:t>
      </w:r>
      <w:r w:rsidR="00FE59B1" w:rsidRPr="00A861A0">
        <w:rPr>
          <w:rFonts w:ascii="Arial" w:hAnsi="Arial" w:cs="Arial"/>
          <w:sz w:val="23"/>
          <w:szCs w:val="23"/>
        </w:rPr>
        <w:t xml:space="preserve">que, </w:t>
      </w:r>
      <w:r w:rsidRPr="00A861A0">
        <w:rPr>
          <w:rFonts w:ascii="Arial" w:hAnsi="Arial" w:cs="Arial"/>
          <w:sz w:val="23"/>
          <w:szCs w:val="23"/>
        </w:rPr>
        <w:t xml:space="preserve">las organizaciones </w:t>
      </w:r>
      <w:r w:rsidR="00FE59B1" w:rsidRPr="00A861A0">
        <w:rPr>
          <w:rFonts w:ascii="Arial" w:hAnsi="Arial" w:cs="Arial"/>
          <w:sz w:val="23"/>
          <w:szCs w:val="23"/>
        </w:rPr>
        <w:t xml:space="preserve">ciudadanas </w:t>
      </w:r>
      <w:r w:rsidRPr="00A861A0">
        <w:rPr>
          <w:rFonts w:ascii="Arial" w:hAnsi="Arial" w:cs="Arial"/>
          <w:sz w:val="23"/>
          <w:szCs w:val="23"/>
        </w:rPr>
        <w:t>que pretendan constituirse en partido político local, deberá</w:t>
      </w:r>
      <w:r w:rsidR="00FE59B1" w:rsidRPr="00A861A0">
        <w:rPr>
          <w:rFonts w:ascii="Arial" w:hAnsi="Arial" w:cs="Arial"/>
          <w:sz w:val="23"/>
          <w:szCs w:val="23"/>
        </w:rPr>
        <w:t>n</w:t>
      </w:r>
      <w:r w:rsidRPr="00A861A0">
        <w:rPr>
          <w:rFonts w:ascii="Arial" w:hAnsi="Arial" w:cs="Arial"/>
          <w:sz w:val="23"/>
          <w:szCs w:val="23"/>
        </w:rPr>
        <w:t xml:space="preserve"> acreditar:</w:t>
      </w:r>
    </w:p>
    <w:p w:rsidR="00FE59B1" w:rsidRPr="00A861A0" w:rsidRDefault="00C2391E" w:rsidP="00FE59B1">
      <w:pPr>
        <w:pStyle w:val="Prrafodelista"/>
        <w:numPr>
          <w:ilvl w:val="0"/>
          <w:numId w:val="9"/>
        </w:numPr>
        <w:ind w:left="510" w:hanging="510"/>
        <w:contextualSpacing w:val="0"/>
        <w:rPr>
          <w:rFonts w:ascii="Arial" w:hAnsi="Arial" w:cs="Arial"/>
          <w:sz w:val="23"/>
          <w:szCs w:val="23"/>
        </w:rPr>
      </w:pPr>
      <w:r w:rsidRPr="00A861A0">
        <w:rPr>
          <w:rFonts w:ascii="Arial" w:hAnsi="Arial" w:cs="Arial"/>
          <w:sz w:val="23"/>
          <w:szCs w:val="23"/>
        </w:rPr>
        <w:t xml:space="preserve">La celebración, por lo menos en dos terceras partes de los distritos electorales locales, o bien, de los municipios o demarcaciones territoriales del Distrito Federal, según sea el caso, de una asamblea en presencia de un funcionario del </w:t>
      </w:r>
      <w:r w:rsidR="00FE59B1" w:rsidRPr="00A861A0">
        <w:rPr>
          <w:rFonts w:ascii="Arial" w:hAnsi="Arial" w:cs="Arial"/>
          <w:sz w:val="23"/>
          <w:szCs w:val="23"/>
        </w:rPr>
        <w:t>o</w:t>
      </w:r>
      <w:r w:rsidRPr="00A861A0">
        <w:rPr>
          <w:rFonts w:ascii="Arial" w:hAnsi="Arial" w:cs="Arial"/>
          <w:sz w:val="23"/>
          <w:szCs w:val="23"/>
        </w:rPr>
        <w:t xml:space="preserve">rganismo </w:t>
      </w:r>
      <w:r w:rsidR="00FE59B1" w:rsidRPr="00A861A0">
        <w:rPr>
          <w:rFonts w:ascii="Arial" w:hAnsi="Arial" w:cs="Arial"/>
          <w:sz w:val="23"/>
          <w:szCs w:val="23"/>
        </w:rPr>
        <w:t xml:space="preserve">electoral </w:t>
      </w:r>
      <w:r w:rsidRPr="00A861A0">
        <w:rPr>
          <w:rFonts w:ascii="Arial" w:hAnsi="Arial" w:cs="Arial"/>
          <w:sz w:val="23"/>
          <w:szCs w:val="23"/>
        </w:rPr>
        <w:t>competente, quien certificará:</w:t>
      </w:r>
    </w:p>
    <w:p w:rsidR="00FE59B1" w:rsidRPr="00A861A0" w:rsidRDefault="00C2391E" w:rsidP="00FE59B1">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 xml:space="preserve">El número de </w:t>
      </w:r>
      <w:r w:rsidR="00FE59B1" w:rsidRPr="00A861A0">
        <w:rPr>
          <w:rFonts w:ascii="Arial" w:hAnsi="Arial" w:cs="Arial"/>
          <w:sz w:val="23"/>
          <w:szCs w:val="23"/>
        </w:rPr>
        <w:t>personas afiliada</w:t>
      </w:r>
      <w:r w:rsidRPr="00A861A0">
        <w:rPr>
          <w:rFonts w:ascii="Arial" w:hAnsi="Arial" w:cs="Arial"/>
          <w:sz w:val="23"/>
          <w:szCs w:val="23"/>
        </w:rPr>
        <w:t xml:space="preserve">s que concurrieron y participaron en las asambleas, que en ningún caso podrá ser menor del 0.26% del padrón electoral del distrito, </w:t>
      </w:r>
      <w:r w:rsidR="00FE59B1" w:rsidRPr="00A861A0">
        <w:rPr>
          <w:rFonts w:ascii="Arial" w:hAnsi="Arial" w:cs="Arial"/>
          <w:sz w:val="23"/>
          <w:szCs w:val="23"/>
        </w:rPr>
        <w:t>m</w:t>
      </w:r>
      <w:r w:rsidRPr="00A861A0">
        <w:rPr>
          <w:rFonts w:ascii="Arial" w:hAnsi="Arial" w:cs="Arial"/>
          <w:sz w:val="23"/>
          <w:szCs w:val="23"/>
        </w:rPr>
        <w:t>unicipio o demarcación, según sea el caso; que suscribieron el documento de manifestación formal de afiliación; que asistieron libremente; que conocieron y aprobaron la declaración de principios, el programa de acción y los</w:t>
      </w:r>
      <w:r w:rsidR="00FE59B1" w:rsidRPr="00A861A0">
        <w:rPr>
          <w:rFonts w:ascii="Arial" w:hAnsi="Arial" w:cs="Arial"/>
          <w:sz w:val="23"/>
          <w:szCs w:val="23"/>
        </w:rPr>
        <w:t xml:space="preserve"> estatutos; y que eligieron a las personas delegada</w:t>
      </w:r>
      <w:r w:rsidRPr="00A861A0">
        <w:rPr>
          <w:rFonts w:ascii="Arial" w:hAnsi="Arial" w:cs="Arial"/>
          <w:sz w:val="23"/>
          <w:szCs w:val="23"/>
        </w:rPr>
        <w:t>s propietarios y suplentes a la asamblea local constitutiva;</w:t>
      </w:r>
    </w:p>
    <w:p w:rsidR="00FE59B1" w:rsidRPr="00A861A0" w:rsidRDefault="00C2391E" w:rsidP="00FE59B1">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Que</w:t>
      </w:r>
      <w:r w:rsidR="00FE59B1" w:rsidRPr="00A861A0">
        <w:rPr>
          <w:rFonts w:ascii="Arial" w:hAnsi="Arial" w:cs="Arial"/>
          <w:sz w:val="23"/>
          <w:szCs w:val="23"/>
        </w:rPr>
        <w:t>,</w:t>
      </w:r>
      <w:r w:rsidRPr="00A861A0">
        <w:rPr>
          <w:rFonts w:ascii="Arial" w:hAnsi="Arial" w:cs="Arial"/>
          <w:sz w:val="23"/>
          <w:szCs w:val="23"/>
        </w:rPr>
        <w:t xml:space="preserve"> con </w:t>
      </w:r>
      <w:r w:rsidR="00FE59B1" w:rsidRPr="00A861A0">
        <w:rPr>
          <w:rFonts w:ascii="Arial" w:hAnsi="Arial" w:cs="Arial"/>
          <w:sz w:val="23"/>
          <w:szCs w:val="23"/>
        </w:rPr>
        <w:t>las personas mencionada</w:t>
      </w:r>
      <w:r w:rsidRPr="00A861A0">
        <w:rPr>
          <w:rFonts w:ascii="Arial" w:hAnsi="Arial" w:cs="Arial"/>
          <w:sz w:val="23"/>
          <w:szCs w:val="23"/>
        </w:rPr>
        <w:t xml:space="preserve">s en la fracción anterior, quedaron formadas las listas de </w:t>
      </w:r>
      <w:r w:rsidR="00FE59B1" w:rsidRPr="00A861A0">
        <w:rPr>
          <w:rFonts w:ascii="Arial" w:hAnsi="Arial" w:cs="Arial"/>
          <w:sz w:val="23"/>
          <w:szCs w:val="23"/>
        </w:rPr>
        <w:t xml:space="preserve">personas </w:t>
      </w:r>
      <w:r w:rsidRPr="00A861A0">
        <w:rPr>
          <w:rFonts w:ascii="Arial" w:hAnsi="Arial" w:cs="Arial"/>
          <w:sz w:val="23"/>
          <w:szCs w:val="23"/>
        </w:rPr>
        <w:t>afiliad</w:t>
      </w:r>
      <w:r w:rsidR="00FE59B1" w:rsidRPr="00A861A0">
        <w:rPr>
          <w:rFonts w:ascii="Arial" w:hAnsi="Arial" w:cs="Arial"/>
          <w:sz w:val="23"/>
          <w:szCs w:val="23"/>
        </w:rPr>
        <w:t>a</w:t>
      </w:r>
      <w:r w:rsidRPr="00A861A0">
        <w:rPr>
          <w:rFonts w:ascii="Arial" w:hAnsi="Arial" w:cs="Arial"/>
          <w:sz w:val="23"/>
          <w:szCs w:val="23"/>
        </w:rPr>
        <w:t>s, con el nombre, los apellidos, domicilio, clave y folio de la credencial para votar, y</w:t>
      </w:r>
    </w:p>
    <w:p w:rsidR="00FE59B1" w:rsidRPr="00A861A0" w:rsidRDefault="00C2391E" w:rsidP="00FE59B1">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Que en la realización de las asambleas de que se trate no existió intervención de organizaciones gremiales o de otras con objeto social diferente al de constituir el partido político.</w:t>
      </w:r>
    </w:p>
    <w:p w:rsidR="00FE59B1" w:rsidRPr="00A861A0" w:rsidRDefault="00C2391E" w:rsidP="00FE59B1">
      <w:pPr>
        <w:pStyle w:val="Prrafodelista"/>
        <w:numPr>
          <w:ilvl w:val="0"/>
          <w:numId w:val="9"/>
        </w:numPr>
        <w:ind w:left="510" w:hanging="510"/>
        <w:contextualSpacing w:val="0"/>
        <w:rPr>
          <w:rFonts w:ascii="Arial" w:hAnsi="Arial" w:cs="Arial"/>
          <w:sz w:val="23"/>
          <w:szCs w:val="23"/>
        </w:rPr>
      </w:pPr>
      <w:r w:rsidRPr="00A861A0">
        <w:rPr>
          <w:rFonts w:ascii="Arial" w:hAnsi="Arial" w:cs="Arial"/>
          <w:sz w:val="23"/>
          <w:szCs w:val="23"/>
        </w:rPr>
        <w:t xml:space="preserve">La celebración de una asamblea local constitutiva ante la presencia </w:t>
      </w:r>
      <w:r w:rsidR="00FE59B1" w:rsidRPr="00A861A0">
        <w:rPr>
          <w:rFonts w:ascii="Arial" w:hAnsi="Arial" w:cs="Arial"/>
          <w:sz w:val="23"/>
          <w:szCs w:val="23"/>
        </w:rPr>
        <w:t xml:space="preserve">de la o </w:t>
      </w:r>
      <w:r w:rsidRPr="00A861A0">
        <w:rPr>
          <w:rFonts w:ascii="Arial" w:hAnsi="Arial" w:cs="Arial"/>
          <w:sz w:val="23"/>
          <w:szCs w:val="23"/>
        </w:rPr>
        <w:t xml:space="preserve">del funcionario designado por el </w:t>
      </w:r>
      <w:r w:rsidR="00FE59B1" w:rsidRPr="00A861A0">
        <w:rPr>
          <w:rFonts w:ascii="Arial" w:hAnsi="Arial" w:cs="Arial"/>
          <w:sz w:val="23"/>
          <w:szCs w:val="23"/>
        </w:rPr>
        <w:t xml:space="preserve">organismo electoral </w:t>
      </w:r>
      <w:r w:rsidRPr="00A861A0">
        <w:rPr>
          <w:rFonts w:ascii="Arial" w:hAnsi="Arial" w:cs="Arial"/>
          <w:sz w:val="23"/>
          <w:szCs w:val="23"/>
        </w:rPr>
        <w:t>competente, quien certificará:</w:t>
      </w:r>
    </w:p>
    <w:p w:rsidR="00FE59B1" w:rsidRPr="00A861A0" w:rsidRDefault="00FE59B1" w:rsidP="00FE59B1">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lastRenderedPageBreak/>
        <w:t>Que asistieron las personas delegada</w:t>
      </w:r>
      <w:r w:rsidR="00C2391E" w:rsidRPr="00A861A0">
        <w:rPr>
          <w:rFonts w:ascii="Arial" w:hAnsi="Arial" w:cs="Arial"/>
          <w:sz w:val="23"/>
          <w:szCs w:val="23"/>
        </w:rPr>
        <w:t>s propietar</w:t>
      </w:r>
      <w:r w:rsidRPr="00A861A0">
        <w:rPr>
          <w:rFonts w:ascii="Arial" w:hAnsi="Arial" w:cs="Arial"/>
          <w:sz w:val="23"/>
          <w:szCs w:val="23"/>
        </w:rPr>
        <w:t>ias o suplentes, elegida</w:t>
      </w:r>
      <w:r w:rsidR="00C2391E" w:rsidRPr="00A861A0">
        <w:rPr>
          <w:rFonts w:ascii="Arial" w:hAnsi="Arial" w:cs="Arial"/>
          <w:sz w:val="23"/>
          <w:szCs w:val="23"/>
        </w:rPr>
        <w:t>s en las asambleas distritales, municipales o de las demarcaciones territoriales del Distrito Federal, según sea el caso;</w:t>
      </w:r>
    </w:p>
    <w:p w:rsidR="00FE59B1" w:rsidRPr="00A861A0" w:rsidRDefault="00C2391E" w:rsidP="00FE59B1">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Que acreditaron, por medio de las actas correspondientes, que las asambleas se celebraron de conformidad con lo prescrito en el inciso anterior;</w:t>
      </w:r>
    </w:p>
    <w:p w:rsidR="00FE59B1" w:rsidRPr="00A861A0" w:rsidRDefault="00C2391E" w:rsidP="00C2391E">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Que se comprobó la identidad y residencia de l</w:t>
      </w:r>
      <w:r w:rsidR="00FE59B1" w:rsidRPr="00A861A0">
        <w:rPr>
          <w:rFonts w:ascii="Arial" w:hAnsi="Arial" w:cs="Arial"/>
          <w:sz w:val="23"/>
          <w:szCs w:val="23"/>
        </w:rPr>
        <w:t>as personas delegada</w:t>
      </w:r>
      <w:r w:rsidRPr="00A861A0">
        <w:rPr>
          <w:rFonts w:ascii="Arial" w:hAnsi="Arial" w:cs="Arial"/>
          <w:sz w:val="23"/>
          <w:szCs w:val="23"/>
        </w:rPr>
        <w:t>s a la asamblea local, por medio de su credencial para votar u otro documento fehaciente;</w:t>
      </w:r>
    </w:p>
    <w:p w:rsidR="00FE59B1" w:rsidRPr="00A861A0" w:rsidRDefault="00C2391E" w:rsidP="00C2391E">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 xml:space="preserve">Que </w:t>
      </w:r>
      <w:r w:rsidR="00FE59B1" w:rsidRPr="00A861A0">
        <w:rPr>
          <w:rFonts w:ascii="Arial" w:hAnsi="Arial" w:cs="Arial"/>
          <w:sz w:val="23"/>
          <w:szCs w:val="23"/>
        </w:rPr>
        <w:t>las personas delegada</w:t>
      </w:r>
      <w:r w:rsidRPr="00A861A0">
        <w:rPr>
          <w:rFonts w:ascii="Arial" w:hAnsi="Arial" w:cs="Arial"/>
          <w:sz w:val="23"/>
          <w:szCs w:val="23"/>
        </w:rPr>
        <w:t>s aprobaron la declaración de principios, programa de acción y estatutos, y</w:t>
      </w:r>
    </w:p>
    <w:p w:rsidR="00C2391E" w:rsidRPr="00A861A0" w:rsidRDefault="00C2391E" w:rsidP="00C2391E">
      <w:pPr>
        <w:pStyle w:val="Prrafodelista"/>
        <w:numPr>
          <w:ilvl w:val="1"/>
          <w:numId w:val="9"/>
        </w:numPr>
        <w:ind w:left="867" w:hanging="357"/>
        <w:contextualSpacing w:val="0"/>
        <w:rPr>
          <w:rFonts w:ascii="Arial" w:hAnsi="Arial" w:cs="Arial"/>
          <w:sz w:val="23"/>
          <w:szCs w:val="23"/>
        </w:rPr>
      </w:pPr>
      <w:r w:rsidRPr="00A861A0">
        <w:rPr>
          <w:rFonts w:ascii="Arial" w:hAnsi="Arial" w:cs="Arial"/>
          <w:sz w:val="23"/>
          <w:szCs w:val="23"/>
        </w:rPr>
        <w:t xml:space="preserve">Que se presentaron las listas de </w:t>
      </w:r>
      <w:r w:rsidR="00FE59B1" w:rsidRPr="00A861A0">
        <w:rPr>
          <w:rFonts w:ascii="Arial" w:hAnsi="Arial" w:cs="Arial"/>
          <w:sz w:val="23"/>
          <w:szCs w:val="23"/>
        </w:rPr>
        <w:t>personas afiliada</w:t>
      </w:r>
      <w:r w:rsidRPr="00A861A0">
        <w:rPr>
          <w:rFonts w:ascii="Arial" w:hAnsi="Arial" w:cs="Arial"/>
          <w:sz w:val="23"/>
          <w:szCs w:val="23"/>
        </w:rPr>
        <w:t xml:space="preserve">s con </w:t>
      </w:r>
      <w:r w:rsidR="00FE59B1" w:rsidRPr="00A861A0">
        <w:rPr>
          <w:rFonts w:ascii="Arial" w:hAnsi="Arial" w:cs="Arial"/>
          <w:sz w:val="23"/>
          <w:szCs w:val="23"/>
        </w:rPr>
        <w:t xml:space="preserve">la </w:t>
      </w:r>
      <w:r w:rsidRPr="00A861A0">
        <w:rPr>
          <w:rFonts w:ascii="Arial" w:hAnsi="Arial" w:cs="Arial"/>
          <w:sz w:val="23"/>
          <w:szCs w:val="23"/>
        </w:rPr>
        <w:t xml:space="preserve">demás </w:t>
      </w:r>
      <w:r w:rsidR="00FE59B1" w:rsidRPr="00A861A0">
        <w:rPr>
          <w:rFonts w:ascii="Arial" w:hAnsi="Arial" w:cs="Arial"/>
          <w:sz w:val="23"/>
          <w:szCs w:val="23"/>
        </w:rPr>
        <w:t xml:space="preserve">ciudadanía </w:t>
      </w:r>
      <w:r w:rsidRPr="00A861A0">
        <w:rPr>
          <w:rFonts w:ascii="Arial" w:hAnsi="Arial" w:cs="Arial"/>
          <w:sz w:val="23"/>
          <w:szCs w:val="23"/>
        </w:rPr>
        <w:t xml:space="preserve">con que cuenta la organización en la entidad federativa, con el objeto de satisfacer el requisito del porcentaje mínimo exigido por </w:t>
      </w:r>
      <w:r w:rsidR="00FE59B1" w:rsidRPr="00A861A0">
        <w:rPr>
          <w:rFonts w:ascii="Arial" w:hAnsi="Arial" w:cs="Arial"/>
          <w:sz w:val="23"/>
          <w:szCs w:val="23"/>
        </w:rPr>
        <w:t xml:space="preserve">la </w:t>
      </w:r>
      <w:r w:rsidRPr="00A861A0">
        <w:rPr>
          <w:rFonts w:ascii="Arial" w:hAnsi="Arial" w:cs="Arial"/>
          <w:sz w:val="23"/>
          <w:szCs w:val="23"/>
        </w:rPr>
        <w:t>Ley</w:t>
      </w:r>
      <w:r w:rsidR="00FE59B1" w:rsidRPr="00A861A0">
        <w:rPr>
          <w:rFonts w:ascii="Arial" w:hAnsi="Arial" w:cs="Arial"/>
          <w:sz w:val="23"/>
          <w:szCs w:val="23"/>
        </w:rPr>
        <w:t xml:space="preserve">, las que deberán contener </w:t>
      </w:r>
      <w:r w:rsidRPr="00A861A0">
        <w:rPr>
          <w:rFonts w:ascii="Arial" w:hAnsi="Arial" w:cs="Arial"/>
          <w:sz w:val="23"/>
          <w:szCs w:val="23"/>
        </w:rPr>
        <w:t>los datos requeridos en la fracción II del inciso anterior.</w:t>
      </w:r>
    </w:p>
    <w:p w:rsidR="00D13BC9" w:rsidRPr="00A861A0" w:rsidRDefault="0059174F" w:rsidP="007F0476">
      <w:pPr>
        <w:pStyle w:val="Ttulo2"/>
        <w:rPr>
          <w:rFonts w:ascii="Arial" w:hAnsi="Arial" w:cs="Arial"/>
          <w:color w:val="auto"/>
          <w:sz w:val="23"/>
          <w:szCs w:val="23"/>
        </w:rPr>
      </w:pPr>
      <w:r w:rsidRPr="00A861A0">
        <w:rPr>
          <w:rFonts w:ascii="Arial" w:hAnsi="Arial" w:cs="Arial"/>
          <w:color w:val="auto"/>
          <w:sz w:val="23"/>
          <w:szCs w:val="23"/>
        </w:rPr>
        <w:t>Solicitud de r</w:t>
      </w:r>
      <w:r w:rsidR="007F0476" w:rsidRPr="00A861A0">
        <w:rPr>
          <w:rFonts w:ascii="Arial" w:hAnsi="Arial" w:cs="Arial"/>
          <w:color w:val="auto"/>
          <w:sz w:val="23"/>
          <w:szCs w:val="23"/>
        </w:rPr>
        <w:t>egistro de partido político local</w:t>
      </w:r>
    </w:p>
    <w:p w:rsidR="0059174F" w:rsidRPr="00A861A0" w:rsidRDefault="007F0476" w:rsidP="007F0476">
      <w:pPr>
        <w:rPr>
          <w:rFonts w:ascii="Arial" w:hAnsi="Arial" w:cs="Arial"/>
          <w:sz w:val="23"/>
          <w:szCs w:val="23"/>
        </w:rPr>
      </w:pPr>
      <w:r w:rsidRPr="00A861A0">
        <w:rPr>
          <w:rFonts w:ascii="Arial" w:hAnsi="Arial" w:cs="Arial"/>
          <w:sz w:val="23"/>
          <w:szCs w:val="23"/>
        </w:rPr>
        <w:t xml:space="preserve">Que, de conformidad con el artículo </w:t>
      </w:r>
      <w:r w:rsidR="0059174F" w:rsidRPr="00A861A0">
        <w:rPr>
          <w:rFonts w:ascii="Arial" w:hAnsi="Arial" w:cs="Arial"/>
          <w:sz w:val="23"/>
          <w:szCs w:val="23"/>
        </w:rPr>
        <w:t>15</w:t>
      </w:r>
      <w:r w:rsidRPr="00A861A0">
        <w:rPr>
          <w:rFonts w:ascii="Arial" w:hAnsi="Arial" w:cs="Arial"/>
          <w:sz w:val="23"/>
          <w:szCs w:val="23"/>
        </w:rPr>
        <w:t xml:space="preserve"> numeral 1 de la Ley </w:t>
      </w:r>
      <w:r w:rsidR="0059174F" w:rsidRPr="00A861A0">
        <w:rPr>
          <w:rFonts w:ascii="Arial" w:hAnsi="Arial" w:cs="Arial"/>
          <w:sz w:val="23"/>
          <w:szCs w:val="23"/>
        </w:rPr>
        <w:t>de Partidos, una vez realizados los actos relativos al procedimiento de constitución de un partido, la organización ciudadana interesada, en el mes de enero del año anterior al de la siguiente elección, presentará ante el INE o el organismo electoral competente, la solicitud de registro, acompañándola con los siguientes documentos:</w:t>
      </w:r>
    </w:p>
    <w:p w:rsidR="0059174F" w:rsidRPr="00A861A0" w:rsidRDefault="0059174F" w:rsidP="0059174F">
      <w:pPr>
        <w:pStyle w:val="Prrafodelista"/>
        <w:numPr>
          <w:ilvl w:val="0"/>
          <w:numId w:val="11"/>
        </w:numPr>
        <w:ind w:left="510" w:hanging="510"/>
        <w:contextualSpacing w:val="0"/>
        <w:rPr>
          <w:rFonts w:ascii="Arial" w:hAnsi="Arial" w:cs="Arial"/>
          <w:sz w:val="23"/>
          <w:szCs w:val="23"/>
        </w:rPr>
      </w:pPr>
      <w:r w:rsidRPr="00A861A0">
        <w:rPr>
          <w:rFonts w:ascii="Arial" w:hAnsi="Arial" w:cs="Arial"/>
          <w:sz w:val="23"/>
          <w:szCs w:val="23"/>
        </w:rPr>
        <w:t>La declaración de principios, el programa de acción y los estatutos aprobados por sus afiliadas y afiliados;</w:t>
      </w:r>
    </w:p>
    <w:p w:rsidR="0059174F" w:rsidRPr="00A861A0" w:rsidRDefault="0059174F" w:rsidP="0059174F">
      <w:pPr>
        <w:pStyle w:val="Prrafodelista"/>
        <w:numPr>
          <w:ilvl w:val="0"/>
          <w:numId w:val="11"/>
        </w:numPr>
        <w:ind w:left="510" w:hanging="510"/>
        <w:contextualSpacing w:val="0"/>
        <w:rPr>
          <w:rFonts w:ascii="Arial" w:hAnsi="Arial" w:cs="Arial"/>
          <w:sz w:val="23"/>
          <w:szCs w:val="23"/>
        </w:rPr>
      </w:pPr>
      <w:r w:rsidRPr="00A861A0">
        <w:rPr>
          <w:rFonts w:ascii="Arial" w:hAnsi="Arial" w:cs="Arial"/>
          <w:sz w:val="23"/>
          <w:szCs w:val="23"/>
        </w:rPr>
        <w:t>Las listas nominales de personas afiliadas por entidades, distritos electorales, municipios o demarcaciones territoriales del Distrito Federal, según sea el caso, a que se refieren los artículos 12 y 13 de la Ley de Partidos. Esta información deberá presentarse en archivos en medio digital, y</w:t>
      </w:r>
    </w:p>
    <w:p w:rsidR="0059174F" w:rsidRPr="00A861A0" w:rsidRDefault="0059174F" w:rsidP="0059174F">
      <w:pPr>
        <w:pStyle w:val="Prrafodelista"/>
        <w:numPr>
          <w:ilvl w:val="0"/>
          <w:numId w:val="11"/>
        </w:numPr>
        <w:ind w:left="510" w:hanging="510"/>
        <w:contextualSpacing w:val="0"/>
        <w:rPr>
          <w:rFonts w:ascii="Arial" w:hAnsi="Arial" w:cs="Arial"/>
          <w:sz w:val="23"/>
          <w:szCs w:val="23"/>
        </w:rPr>
      </w:pPr>
      <w:r w:rsidRPr="00A861A0">
        <w:rPr>
          <w:rFonts w:ascii="Arial" w:hAnsi="Arial" w:cs="Arial"/>
          <w:sz w:val="23"/>
          <w:szCs w:val="23"/>
        </w:rPr>
        <w:t>Las actas de las asambleas celebradas en las entidades federativas, distritos electorales, municipios o demarcaciones territoriales del Distrito Federal, según sea el caso, y la de su asamblea nacional o local constitutiva, correspondiente.</w:t>
      </w:r>
    </w:p>
    <w:p w:rsidR="00051E61" w:rsidRPr="00A861A0" w:rsidRDefault="00051E61" w:rsidP="00FB3FEC">
      <w:pPr>
        <w:pStyle w:val="Ttulo2"/>
        <w:rPr>
          <w:rFonts w:ascii="Arial" w:hAnsi="Arial" w:cs="Arial"/>
          <w:color w:val="auto"/>
          <w:sz w:val="23"/>
          <w:szCs w:val="23"/>
        </w:rPr>
      </w:pPr>
      <w:r w:rsidRPr="00A861A0">
        <w:rPr>
          <w:rFonts w:ascii="Arial" w:hAnsi="Arial" w:cs="Arial"/>
          <w:color w:val="auto"/>
          <w:sz w:val="23"/>
          <w:szCs w:val="23"/>
        </w:rPr>
        <w:lastRenderedPageBreak/>
        <w:t>Verificación de los requisitos</w:t>
      </w:r>
    </w:p>
    <w:p w:rsidR="00051E61" w:rsidRPr="00A861A0" w:rsidRDefault="00051E61" w:rsidP="00051E61">
      <w:pPr>
        <w:rPr>
          <w:rFonts w:ascii="Arial" w:hAnsi="Arial" w:cs="Arial"/>
          <w:sz w:val="23"/>
          <w:szCs w:val="23"/>
        </w:rPr>
      </w:pPr>
      <w:r w:rsidRPr="00A861A0">
        <w:rPr>
          <w:rFonts w:ascii="Arial" w:hAnsi="Arial" w:cs="Arial"/>
          <w:sz w:val="23"/>
          <w:szCs w:val="23"/>
        </w:rPr>
        <w:t>Que, en términos del artículo 17 numeral 1 de la Ley de Partidos, el organismo electoral que corresponda, conocerá de la solicitud de las y los ciudadanos que pretendan su registro como partido político local, examinará los documentos de la solicitud de registro a fin de verificar el cumplimiento de los requisitos y del procedimiento de constitución señalados en la Ley, y formulará el proyecto de dictamen de registro.</w:t>
      </w:r>
    </w:p>
    <w:p w:rsidR="00051E61" w:rsidRPr="00A861A0" w:rsidRDefault="00051E61" w:rsidP="00051E61">
      <w:pPr>
        <w:rPr>
          <w:rFonts w:ascii="Arial" w:hAnsi="Arial" w:cs="Arial"/>
          <w:sz w:val="23"/>
          <w:szCs w:val="23"/>
        </w:rPr>
      </w:pPr>
      <w:r w:rsidRPr="00A861A0">
        <w:rPr>
          <w:rFonts w:ascii="Arial" w:hAnsi="Arial" w:cs="Arial"/>
          <w:sz w:val="23"/>
          <w:szCs w:val="23"/>
        </w:rPr>
        <w:t>Asimismo, en términos del numeral 2 del artículo señalado, el organismo electoral que corresponda, notificará al INE para que realice la verificación del número de personas afiliadas y de la autenticidad de las afiliaciones al nuevo partido, conforme al cual se constatará que se cuenta con el número mínimo de personas afiliadas, cerciorándose de que dichas afiliaciones cuenten con un año de antigüedad como máximo dentro del partido político de nueva creación.</w:t>
      </w:r>
    </w:p>
    <w:p w:rsidR="00FE3438" w:rsidRPr="00A861A0" w:rsidRDefault="00FE3438" w:rsidP="00FE3438">
      <w:pPr>
        <w:rPr>
          <w:rFonts w:ascii="Arial" w:hAnsi="Arial" w:cs="Arial"/>
          <w:sz w:val="23"/>
          <w:szCs w:val="23"/>
        </w:rPr>
      </w:pPr>
      <w:r w:rsidRPr="00A861A0">
        <w:rPr>
          <w:rFonts w:ascii="Arial" w:hAnsi="Arial" w:cs="Arial"/>
          <w:sz w:val="23"/>
          <w:szCs w:val="23"/>
        </w:rPr>
        <w:t>Del mismo modo, de acuerdo con los numerales 1 y 2 el artículo 18 de la Ley de Partidos, se deberá verificar que no exista doble afiliación a partidos ya registrados o en formación.</w:t>
      </w:r>
    </w:p>
    <w:p w:rsidR="00FE3438" w:rsidRPr="00A861A0" w:rsidRDefault="00FE3438" w:rsidP="00FE3438">
      <w:pPr>
        <w:rPr>
          <w:rFonts w:ascii="Arial" w:hAnsi="Arial" w:cs="Arial"/>
          <w:sz w:val="23"/>
          <w:szCs w:val="23"/>
        </w:rPr>
      </w:pPr>
      <w:r w:rsidRPr="00A861A0">
        <w:rPr>
          <w:rFonts w:ascii="Arial" w:hAnsi="Arial" w:cs="Arial"/>
          <w:sz w:val="23"/>
          <w:szCs w:val="23"/>
        </w:rPr>
        <w:t>Así, para el caso de que un ciudadano o ciudadana aparezca en más de un padrón de personas afiliadas de partidos políticos, el INE o el organismo electoral competente, dará vista a los partidos políticos involucrados para que manifiesten lo que a su derecho convenga; de subsistir la doble afiliación, se requerirá al ciudadano o ciudadana para que manifieste al respecto y, en caso de que no se manifieste, subsistirá la más reciente.</w:t>
      </w:r>
    </w:p>
    <w:p w:rsidR="00747A6D" w:rsidRPr="00A861A0" w:rsidRDefault="00747A6D" w:rsidP="00747A6D">
      <w:pPr>
        <w:pStyle w:val="Ttulo2"/>
        <w:rPr>
          <w:rFonts w:ascii="Arial" w:hAnsi="Arial" w:cs="Arial"/>
          <w:color w:val="auto"/>
          <w:sz w:val="23"/>
          <w:szCs w:val="23"/>
        </w:rPr>
      </w:pPr>
      <w:r w:rsidRPr="00A861A0">
        <w:rPr>
          <w:rFonts w:ascii="Arial" w:hAnsi="Arial" w:cs="Arial"/>
          <w:color w:val="auto"/>
          <w:sz w:val="23"/>
          <w:szCs w:val="23"/>
        </w:rPr>
        <w:t>Comisiones</w:t>
      </w:r>
    </w:p>
    <w:p w:rsidR="00747A6D" w:rsidRPr="00A861A0" w:rsidRDefault="00747A6D" w:rsidP="00747A6D">
      <w:pPr>
        <w:rPr>
          <w:rFonts w:ascii="Arial" w:hAnsi="Arial" w:cs="Arial"/>
          <w:sz w:val="23"/>
          <w:szCs w:val="23"/>
        </w:rPr>
      </w:pPr>
      <w:r w:rsidRPr="00A861A0">
        <w:rPr>
          <w:rFonts w:ascii="Arial" w:hAnsi="Arial" w:cs="Arial"/>
          <w:sz w:val="23"/>
          <w:szCs w:val="23"/>
        </w:rPr>
        <w:t>Que, el artículo 45 numeral 1 de la Ley Electoral establece que, el Consejo Estatal, al conocer de la solicitud de la organización política que pretenda su registro como partido político local, integrará una Comisión de tres Consejerías Electorales para examinar los documentos básicos a que se refiere el artículo anterior; así como para verificar el cumplimiento de los requisitos y del procedimiento de constitución señalados en la Ley.</w:t>
      </w:r>
    </w:p>
    <w:p w:rsidR="00112FAA" w:rsidRPr="00A861A0" w:rsidRDefault="00112FAA" w:rsidP="005805AA">
      <w:pPr>
        <w:pStyle w:val="Ttulo2"/>
        <w:rPr>
          <w:rFonts w:ascii="Arial" w:hAnsi="Arial" w:cs="Arial"/>
          <w:color w:val="auto"/>
          <w:sz w:val="23"/>
          <w:szCs w:val="23"/>
        </w:rPr>
      </w:pPr>
      <w:r w:rsidRPr="00A861A0">
        <w:rPr>
          <w:rFonts w:ascii="Arial" w:hAnsi="Arial" w:cs="Arial"/>
          <w:color w:val="auto"/>
          <w:sz w:val="23"/>
          <w:szCs w:val="23"/>
        </w:rPr>
        <w:t>Resolución de la solicitud de registro</w:t>
      </w:r>
    </w:p>
    <w:p w:rsidR="004973E3" w:rsidRPr="00A861A0" w:rsidRDefault="005805AA" w:rsidP="004973E3">
      <w:pPr>
        <w:rPr>
          <w:rFonts w:ascii="Arial" w:hAnsi="Arial" w:cs="Arial"/>
          <w:sz w:val="23"/>
          <w:szCs w:val="23"/>
        </w:rPr>
      </w:pPr>
      <w:r w:rsidRPr="00A861A0">
        <w:rPr>
          <w:rFonts w:ascii="Arial" w:hAnsi="Arial" w:cs="Arial"/>
          <w:sz w:val="23"/>
          <w:szCs w:val="23"/>
        </w:rPr>
        <w:t xml:space="preserve">Que, </w:t>
      </w:r>
      <w:r w:rsidR="004973E3" w:rsidRPr="00A861A0">
        <w:rPr>
          <w:rFonts w:ascii="Arial" w:hAnsi="Arial" w:cs="Arial"/>
          <w:sz w:val="23"/>
          <w:szCs w:val="23"/>
        </w:rPr>
        <w:t xml:space="preserve">de conformidad con el artículo 19 numeral 1 de la Ley de Partidos, el INE o el organismo electoral que corresponda, elaborará el proyecto de dictamen y dentro del </w:t>
      </w:r>
      <w:r w:rsidR="004973E3" w:rsidRPr="00A861A0">
        <w:rPr>
          <w:rFonts w:ascii="Arial" w:hAnsi="Arial" w:cs="Arial"/>
          <w:sz w:val="23"/>
          <w:szCs w:val="23"/>
        </w:rPr>
        <w:lastRenderedPageBreak/>
        <w:t>plazo de sesenta días contados a partir de que tenga conocimiento de la presentación de la solicitud de registro, resolverá lo conducente.</w:t>
      </w:r>
    </w:p>
    <w:p w:rsidR="004973E3" w:rsidRPr="00A861A0" w:rsidRDefault="004973E3" w:rsidP="004973E3">
      <w:pPr>
        <w:rPr>
          <w:rFonts w:ascii="Arial" w:hAnsi="Arial" w:cs="Arial"/>
          <w:sz w:val="23"/>
          <w:szCs w:val="23"/>
        </w:rPr>
      </w:pPr>
      <w:r w:rsidRPr="00A861A0">
        <w:rPr>
          <w:rFonts w:ascii="Arial" w:hAnsi="Arial" w:cs="Arial"/>
          <w:sz w:val="23"/>
          <w:szCs w:val="23"/>
        </w:rPr>
        <w:t>Cuando proceda, expedirá el certificado correspondiente haciendo constar el registro. En caso de negativa fundamentará las causas que la motivan y lo comunicará a los interesados. El registro de los partidos políticos surtirá efectos constitutivos a partir del primer día del mes de julio del año previo al de la elección, en términos del artículo 19 numeral 2 de la Ley de Partidos.</w:t>
      </w:r>
    </w:p>
    <w:p w:rsidR="004973E3" w:rsidRPr="00A861A0" w:rsidRDefault="004973E3" w:rsidP="004973E3">
      <w:pPr>
        <w:rPr>
          <w:rFonts w:ascii="Arial" w:hAnsi="Arial" w:cs="Arial"/>
          <w:sz w:val="23"/>
          <w:szCs w:val="23"/>
        </w:rPr>
      </w:pPr>
      <w:r w:rsidRPr="00A861A0">
        <w:rPr>
          <w:rFonts w:ascii="Arial" w:hAnsi="Arial" w:cs="Arial"/>
          <w:sz w:val="23"/>
          <w:szCs w:val="23"/>
        </w:rPr>
        <w:t>Finalmente, de acuerdo con el numeral 3 del artículo en cita, la resolución se deberá publicar en el Diario Oficial de la Federación o en la Gaceta Oficial de la entidad federativa de que se trate, según corresponda, y podrá ser recurrida ante el Tribunal o la autoridad jurisdiccional local competente.</w:t>
      </w:r>
    </w:p>
    <w:p w:rsidR="004519FD" w:rsidRPr="00A861A0" w:rsidRDefault="004519FD" w:rsidP="00275CEE">
      <w:pPr>
        <w:pStyle w:val="Ttulo2"/>
        <w:rPr>
          <w:rFonts w:ascii="Arial" w:hAnsi="Arial" w:cs="Arial"/>
          <w:color w:val="auto"/>
          <w:sz w:val="23"/>
          <w:szCs w:val="23"/>
        </w:rPr>
      </w:pPr>
      <w:r w:rsidRPr="00A861A0">
        <w:rPr>
          <w:rFonts w:ascii="Arial" w:hAnsi="Arial" w:cs="Arial"/>
          <w:color w:val="auto"/>
          <w:sz w:val="23"/>
          <w:szCs w:val="23"/>
        </w:rPr>
        <w:t>Propuesta de Lineamientos</w:t>
      </w:r>
    </w:p>
    <w:p w:rsidR="004519FD" w:rsidRPr="00A861A0" w:rsidRDefault="004519FD" w:rsidP="004973E3">
      <w:pPr>
        <w:rPr>
          <w:rFonts w:ascii="Arial" w:hAnsi="Arial" w:cs="Arial"/>
          <w:sz w:val="23"/>
          <w:szCs w:val="23"/>
        </w:rPr>
      </w:pPr>
      <w:r w:rsidRPr="00A861A0">
        <w:rPr>
          <w:rFonts w:ascii="Arial" w:hAnsi="Arial" w:cs="Arial"/>
          <w:sz w:val="23"/>
          <w:szCs w:val="23"/>
        </w:rPr>
        <w:t xml:space="preserve">Que, conforme a las disposiciones señaladas, </w:t>
      </w:r>
      <w:r w:rsidR="008D368B" w:rsidRPr="00A861A0">
        <w:rPr>
          <w:rFonts w:ascii="Arial" w:hAnsi="Arial" w:cs="Arial"/>
          <w:sz w:val="23"/>
          <w:szCs w:val="23"/>
        </w:rPr>
        <w:t xml:space="preserve">la Dirección de Organización Electoral y Educación Cívica, la Coordinación de Prerrogativas y Partidos Políticos en coordinación con la Dirección Jurídica de este Instituto, presentaron a las y los integrantes de este Consejo Estatal </w:t>
      </w:r>
      <w:r w:rsidRPr="00A861A0">
        <w:rPr>
          <w:rFonts w:ascii="Arial" w:hAnsi="Arial" w:cs="Arial"/>
          <w:sz w:val="23"/>
          <w:szCs w:val="23"/>
        </w:rPr>
        <w:t xml:space="preserve">los Lineamientos que deberán observar las organizaciones ciudadanas que tengan como propósito constituir y registrar un partido político local en la entidad. </w:t>
      </w:r>
    </w:p>
    <w:p w:rsidR="004519FD" w:rsidRPr="00A861A0" w:rsidRDefault="004519FD" w:rsidP="004973E3">
      <w:pPr>
        <w:rPr>
          <w:rFonts w:ascii="Arial" w:hAnsi="Arial" w:cs="Arial"/>
          <w:sz w:val="23"/>
          <w:szCs w:val="23"/>
        </w:rPr>
      </w:pPr>
      <w:r w:rsidRPr="00A861A0">
        <w:rPr>
          <w:rFonts w:ascii="Arial" w:hAnsi="Arial" w:cs="Arial"/>
          <w:sz w:val="23"/>
          <w:szCs w:val="23"/>
        </w:rPr>
        <w:t xml:space="preserve">De acuerdo con su contenido, el documento </w:t>
      </w:r>
      <w:r w:rsidR="008D368B" w:rsidRPr="00A861A0">
        <w:rPr>
          <w:rFonts w:ascii="Arial" w:hAnsi="Arial" w:cs="Arial"/>
          <w:sz w:val="23"/>
          <w:szCs w:val="23"/>
        </w:rPr>
        <w:t>establece</w:t>
      </w:r>
      <w:r w:rsidRPr="00A861A0">
        <w:rPr>
          <w:rFonts w:ascii="Arial" w:hAnsi="Arial" w:cs="Arial"/>
          <w:sz w:val="23"/>
          <w:szCs w:val="23"/>
        </w:rPr>
        <w:t xml:space="preserve"> los criterios, directrices y el procedimiento al que deberán sujetarse las organizaciones ciudadanas que pretendan registrar un partido político local. </w:t>
      </w:r>
    </w:p>
    <w:p w:rsidR="004519FD" w:rsidRPr="00A861A0" w:rsidRDefault="004519FD" w:rsidP="004973E3">
      <w:pPr>
        <w:rPr>
          <w:rFonts w:ascii="Arial" w:hAnsi="Arial" w:cs="Arial"/>
          <w:sz w:val="23"/>
          <w:szCs w:val="23"/>
        </w:rPr>
      </w:pPr>
      <w:r w:rsidRPr="00A861A0">
        <w:rPr>
          <w:rFonts w:ascii="Arial" w:hAnsi="Arial" w:cs="Arial"/>
          <w:sz w:val="23"/>
          <w:szCs w:val="23"/>
        </w:rPr>
        <w:t xml:space="preserve">En lo que respecta al procedimiento se señala con claridad los plazos y la forma en que deberá intervenir el Instituto a través de áreas tales como: la Secretaría Ejecutiva, la Dirección de Organización Electoral y Educación Cívica, la Dirección Jurídica, la Coordinación de Prerrogativas y Partidos Políticos, así como la participación de las y los </w:t>
      </w:r>
      <w:r w:rsidR="00D23422" w:rsidRPr="00A861A0">
        <w:rPr>
          <w:rFonts w:ascii="Arial" w:hAnsi="Arial" w:cs="Arial"/>
          <w:sz w:val="23"/>
          <w:szCs w:val="23"/>
        </w:rPr>
        <w:t>funcionarios que ejercen la función de Oficialía Electoral</w:t>
      </w:r>
      <w:r w:rsidRPr="00A861A0">
        <w:rPr>
          <w:rFonts w:ascii="Arial" w:hAnsi="Arial" w:cs="Arial"/>
          <w:sz w:val="23"/>
          <w:szCs w:val="23"/>
        </w:rPr>
        <w:t xml:space="preserve">. </w:t>
      </w:r>
      <w:r w:rsidR="007A0E9F" w:rsidRPr="00A861A0">
        <w:rPr>
          <w:rFonts w:ascii="Arial" w:hAnsi="Arial" w:cs="Arial"/>
          <w:sz w:val="23"/>
          <w:szCs w:val="23"/>
        </w:rPr>
        <w:t>Además, se señalan los requisitos que deberán cumplir las organizaciones interesas en la celebración de asambleas.</w:t>
      </w:r>
    </w:p>
    <w:p w:rsidR="00275CEE" w:rsidRPr="00A861A0" w:rsidRDefault="00275CEE" w:rsidP="00275CEE">
      <w:pPr>
        <w:rPr>
          <w:rFonts w:ascii="Arial" w:hAnsi="Arial" w:cs="Arial"/>
          <w:sz w:val="23"/>
          <w:szCs w:val="23"/>
        </w:rPr>
      </w:pPr>
      <w:r w:rsidRPr="00A861A0">
        <w:rPr>
          <w:rFonts w:ascii="Arial" w:hAnsi="Arial" w:cs="Arial"/>
          <w:sz w:val="23"/>
          <w:szCs w:val="23"/>
        </w:rPr>
        <w:t>Los Lineamientos</w:t>
      </w:r>
      <w:r w:rsidR="005E5206" w:rsidRPr="00A861A0">
        <w:rPr>
          <w:rFonts w:ascii="Arial" w:hAnsi="Arial" w:cs="Arial"/>
          <w:sz w:val="23"/>
          <w:szCs w:val="23"/>
        </w:rPr>
        <w:t xml:space="preserve"> propuestos</w:t>
      </w:r>
      <w:r w:rsidRPr="00A861A0">
        <w:rPr>
          <w:rFonts w:ascii="Arial" w:hAnsi="Arial" w:cs="Arial"/>
          <w:sz w:val="23"/>
          <w:szCs w:val="23"/>
        </w:rPr>
        <w:t xml:space="preserve">, atienden a los requisitos de procedencia que establece la Ley de Partidos, ya que, en el caso del porcentaje de afiliaciones mínimas con las que debe contar una organización ciudadana, se sujeta al 0.26% del padrón electoral que señala el artículo 10 de la Ley de Partidos, máxime que, el Tribunal Electoral de </w:t>
      </w:r>
      <w:r w:rsidRPr="00A861A0">
        <w:rPr>
          <w:rFonts w:ascii="Arial" w:hAnsi="Arial" w:cs="Arial"/>
          <w:sz w:val="23"/>
          <w:szCs w:val="23"/>
        </w:rPr>
        <w:lastRenderedPageBreak/>
        <w:t>Tabasco, al resolver el juicio para la protección de los derechos ciudadanos con número TET-JDC-06/2019-I, determinó la inaplicabilidad de los artículos 39 numeral 1, fracción IV, incisos a) y b) y el 43 numeral 1, fracción III de la Ley Electoral</w:t>
      </w:r>
      <w:r w:rsidR="008425CC" w:rsidRPr="00A861A0">
        <w:rPr>
          <w:rFonts w:ascii="Arial" w:hAnsi="Arial" w:cs="Arial"/>
          <w:sz w:val="23"/>
          <w:szCs w:val="23"/>
        </w:rPr>
        <w:t xml:space="preserve"> y sostuvo la incompetencia de las legislaturas locales para regular lo relativo a la constitución y registro de partidos políticos locales. </w:t>
      </w:r>
    </w:p>
    <w:p w:rsidR="00C171FE" w:rsidRPr="00A861A0" w:rsidRDefault="00A2236B" w:rsidP="00A2236B">
      <w:pPr>
        <w:rPr>
          <w:rFonts w:ascii="Arial" w:hAnsi="Arial" w:cs="Arial"/>
          <w:sz w:val="23"/>
          <w:szCs w:val="23"/>
        </w:rPr>
      </w:pPr>
      <w:r w:rsidRPr="00A861A0">
        <w:rPr>
          <w:rFonts w:ascii="Arial" w:hAnsi="Arial" w:cs="Arial"/>
          <w:sz w:val="23"/>
          <w:szCs w:val="23"/>
        </w:rPr>
        <w:t>Otro aspecto fundamental en el procedimiento de constitución y registro de un partido político local, es el uso de la Aplicación Móvil del INE que constituye una solución tecnológica desarrollada para recabar las afiliaciones de las organizaciones ciudadanas en proceso de constitución como partido político local, correspondientes al resto de la entidad, a efecto de verificar la situación registral de las personas ciudadanas que se afilien a dichas organizaciones</w:t>
      </w:r>
      <w:r w:rsidR="00C171FE" w:rsidRPr="00A861A0">
        <w:rPr>
          <w:rFonts w:ascii="Arial" w:hAnsi="Arial" w:cs="Arial"/>
          <w:sz w:val="23"/>
          <w:szCs w:val="23"/>
        </w:rPr>
        <w:t>.</w:t>
      </w:r>
    </w:p>
    <w:p w:rsidR="00A2236B" w:rsidRPr="00A861A0" w:rsidRDefault="00A2236B" w:rsidP="00A2236B">
      <w:pPr>
        <w:rPr>
          <w:rFonts w:ascii="Arial" w:hAnsi="Arial" w:cs="Arial"/>
          <w:sz w:val="23"/>
          <w:szCs w:val="23"/>
        </w:rPr>
      </w:pPr>
      <w:r w:rsidRPr="00A861A0">
        <w:rPr>
          <w:rFonts w:ascii="Arial" w:hAnsi="Arial" w:cs="Arial"/>
          <w:sz w:val="23"/>
          <w:szCs w:val="23"/>
        </w:rPr>
        <w:t>El uso de la Aplicación Móvil automatizará los procedimientos para recabar los datos de las afiliaciones, por lo que la cédula electrónica hará las veces de la denominada manifestación formal de afiliación a que se refiere la Ley de Partidos; en consecuencia, las personas que se afilien a través de la misma, serán sumadas a las que se obtengan mediante asambleas y el régimen de excepción para acreditar que se cuenta con el número mínimo de personas afiliadas que exige la Ley a quienes pretenden constituirse como partidos políticos locales.</w:t>
      </w:r>
    </w:p>
    <w:p w:rsidR="00B270D0" w:rsidRPr="00A861A0" w:rsidRDefault="00B270D0" w:rsidP="00B270D0">
      <w:pPr>
        <w:rPr>
          <w:rFonts w:ascii="Arial" w:hAnsi="Arial" w:cs="Arial"/>
          <w:sz w:val="23"/>
          <w:szCs w:val="23"/>
        </w:rPr>
      </w:pPr>
      <w:r w:rsidRPr="00A861A0">
        <w:rPr>
          <w:rFonts w:ascii="Arial" w:hAnsi="Arial" w:cs="Arial"/>
          <w:sz w:val="23"/>
          <w:szCs w:val="23"/>
        </w:rPr>
        <w:t>En el caso de las afiliaciones, los Lineamientos establecen que para su verificación atenderá a las reglas, criterios y procedimiento que señalan los Lineamientos para la verificación; conforme a éstos, durante el proceso de solicitud de registro y hasta en tanto no se agote el procedimiento de revisión, la totalidad de las afiliaciones que la organización de la ciudadanía interesada envíe o entregue se considerarán preliminares, en tanto están sujetas a la revisión tanto por lo que hace a la información capturada o enviada como a su integridad y los cruces con el padrón electoral y los padrones de los partidos políticos locales y nacionales, así como con otras organizaciones en proceso de obtención de registro como partido político nacional y/o local necesarios para garantizar su validez y autenticidad.</w:t>
      </w:r>
    </w:p>
    <w:p w:rsidR="00D23422" w:rsidRPr="00A861A0" w:rsidRDefault="002746DF" w:rsidP="00D23422">
      <w:pPr>
        <w:rPr>
          <w:rFonts w:ascii="Arial" w:hAnsi="Arial" w:cs="Arial"/>
          <w:sz w:val="23"/>
          <w:szCs w:val="23"/>
        </w:rPr>
      </w:pPr>
      <w:r w:rsidRPr="00A861A0">
        <w:rPr>
          <w:rFonts w:ascii="Arial" w:hAnsi="Arial" w:cs="Arial"/>
          <w:sz w:val="23"/>
          <w:szCs w:val="23"/>
        </w:rPr>
        <w:t>Por otra parte, si bien el Tribunal Electoral de Tabasco determinó en materia de fiscalización que únicamente el Consejo General del INE está facultado para llevar a cabo la revisión de la totalidad de ingresos y gastos reportados en los informes por los sujetos obligados (incluido la asociación u organización de ciudadanas y ciudadanos que pretendan ser un partido político), de conformidad con los principios electorales de certeza, transp</w:t>
      </w:r>
      <w:r w:rsidR="00D23422" w:rsidRPr="00A861A0">
        <w:rPr>
          <w:rFonts w:ascii="Arial" w:hAnsi="Arial" w:cs="Arial"/>
          <w:sz w:val="23"/>
          <w:szCs w:val="23"/>
        </w:rPr>
        <w:t xml:space="preserve">arencia y rendición de cuentas, conforme al criterio de interpretación aprobado por el INE, los organismos electorales ejercer funciones en aquellas materias </w:t>
      </w:r>
      <w:r w:rsidR="00D23422" w:rsidRPr="00A861A0">
        <w:rPr>
          <w:rFonts w:ascii="Arial" w:hAnsi="Arial" w:cs="Arial"/>
          <w:sz w:val="23"/>
          <w:szCs w:val="23"/>
        </w:rPr>
        <w:lastRenderedPageBreak/>
        <w:t>no reservadas expresamente a dicha autoridad nacional, tal es el caso de la fiscalización de las organizaciones de ciudadanos que buscan su registro como partido político local.</w:t>
      </w:r>
    </w:p>
    <w:p w:rsidR="00D23422" w:rsidRPr="00A861A0" w:rsidRDefault="00D23422" w:rsidP="00D23422">
      <w:pPr>
        <w:rPr>
          <w:rFonts w:ascii="Arial" w:hAnsi="Arial" w:cs="Arial"/>
          <w:sz w:val="23"/>
          <w:szCs w:val="23"/>
        </w:rPr>
      </w:pPr>
      <w:r w:rsidRPr="00A861A0">
        <w:rPr>
          <w:rFonts w:ascii="Arial" w:hAnsi="Arial" w:cs="Arial"/>
          <w:sz w:val="23"/>
          <w:szCs w:val="23"/>
        </w:rPr>
        <w:t xml:space="preserve">Sobre esa base, los Lineamientos establecen la obligación de las organizaciones ciudadanas que pretendan constituir y registrar un partido político local en la entidad, de rendir el informe relacionado con sus ingresos y egresos, con sujeción a las reglas de fiscalización </w:t>
      </w:r>
      <w:r w:rsidR="00747A2B" w:rsidRPr="00A861A0">
        <w:rPr>
          <w:rFonts w:ascii="Arial" w:hAnsi="Arial" w:cs="Arial"/>
          <w:sz w:val="23"/>
          <w:szCs w:val="23"/>
        </w:rPr>
        <w:t>emitidas por</w:t>
      </w:r>
      <w:r w:rsidRPr="00A861A0">
        <w:rPr>
          <w:rFonts w:ascii="Arial" w:hAnsi="Arial" w:cs="Arial"/>
          <w:sz w:val="23"/>
          <w:szCs w:val="23"/>
        </w:rPr>
        <w:t xml:space="preserve"> el INE.</w:t>
      </w:r>
    </w:p>
    <w:p w:rsidR="009040AE" w:rsidRPr="00A861A0" w:rsidRDefault="004E125E" w:rsidP="009040AE">
      <w:pPr>
        <w:rPr>
          <w:rFonts w:ascii="Arial" w:hAnsi="Arial" w:cs="Arial"/>
          <w:sz w:val="23"/>
          <w:szCs w:val="23"/>
        </w:rPr>
      </w:pPr>
      <w:r w:rsidRPr="00A861A0">
        <w:rPr>
          <w:rFonts w:ascii="Arial" w:hAnsi="Arial" w:cs="Arial"/>
          <w:sz w:val="23"/>
          <w:szCs w:val="23"/>
        </w:rPr>
        <w:t xml:space="preserve">Por otra parte, este Consejo Estatal considera viable que, hasta en tanto se constituya la Comisión Dictaminadora responsable de </w:t>
      </w:r>
      <w:r w:rsidR="009040AE" w:rsidRPr="00A861A0">
        <w:rPr>
          <w:rFonts w:ascii="Arial" w:hAnsi="Arial" w:cs="Arial"/>
          <w:sz w:val="23"/>
          <w:szCs w:val="23"/>
        </w:rPr>
        <w:t>examinar los documentos básicos y de la verificación del cumplimiento de los requisitos y del procedimiento de constitución señalados en la Ley, la Comisión Permanente de Organización Electoral y Educación Cívica será la encargada del seguimiento a las actividades establecidas en los Lineamientos.</w:t>
      </w:r>
    </w:p>
    <w:p w:rsidR="00EE3344" w:rsidRDefault="00EE3344" w:rsidP="00EE3344">
      <w:pPr>
        <w:rPr>
          <w:rFonts w:ascii="Arial" w:hAnsi="Arial" w:cs="Arial"/>
          <w:sz w:val="23"/>
          <w:szCs w:val="23"/>
        </w:rPr>
      </w:pPr>
      <w:r w:rsidRPr="00A861A0">
        <w:rPr>
          <w:rFonts w:ascii="Arial" w:hAnsi="Arial" w:cs="Arial"/>
          <w:sz w:val="23"/>
          <w:szCs w:val="23"/>
        </w:rPr>
        <w:t>Sobre la base de las consideraciones señaladas, este Consejo Estatal emite el siguiente:</w:t>
      </w:r>
    </w:p>
    <w:p w:rsidR="005B27DD" w:rsidRPr="00A861A0" w:rsidRDefault="005B27DD" w:rsidP="00EE3344">
      <w:pPr>
        <w:rPr>
          <w:rFonts w:ascii="Arial" w:hAnsi="Arial" w:cs="Arial"/>
          <w:sz w:val="23"/>
          <w:szCs w:val="23"/>
        </w:rPr>
      </w:pPr>
    </w:p>
    <w:p w:rsidR="00EE3344" w:rsidRDefault="00EE3344" w:rsidP="00EE3344">
      <w:pPr>
        <w:pStyle w:val="Ttulo1"/>
        <w:rPr>
          <w:rFonts w:ascii="Arial" w:hAnsi="Arial" w:cs="Arial"/>
          <w:color w:val="auto"/>
          <w:sz w:val="24"/>
        </w:rPr>
      </w:pPr>
      <w:r w:rsidRPr="00A861A0">
        <w:rPr>
          <w:rFonts w:ascii="Arial" w:hAnsi="Arial" w:cs="Arial"/>
          <w:color w:val="auto"/>
          <w:sz w:val="24"/>
        </w:rPr>
        <w:t>Acuerdo</w:t>
      </w:r>
    </w:p>
    <w:p w:rsidR="00EE3344" w:rsidRPr="00A861A0" w:rsidRDefault="00EE3344" w:rsidP="00EE3344">
      <w:pPr>
        <w:rPr>
          <w:rFonts w:ascii="Arial" w:hAnsi="Arial" w:cs="Arial"/>
          <w:sz w:val="23"/>
          <w:szCs w:val="23"/>
        </w:rPr>
      </w:pPr>
      <w:r w:rsidRPr="00A861A0">
        <w:rPr>
          <w:rFonts w:ascii="Arial" w:hAnsi="Arial" w:cs="Arial"/>
          <w:b/>
          <w:sz w:val="23"/>
          <w:szCs w:val="23"/>
        </w:rPr>
        <w:t>Primero.</w:t>
      </w:r>
      <w:r w:rsidRPr="00A861A0">
        <w:rPr>
          <w:rFonts w:ascii="Arial" w:hAnsi="Arial" w:cs="Arial"/>
          <w:sz w:val="23"/>
          <w:szCs w:val="23"/>
        </w:rPr>
        <w:t xml:space="preserve"> Se aprueban los Lineamientos para la constitución y registro de partidos políticos locales en el Estado Libre y Soberano de Tabasco y sus anexos, los cuales corren agregados al presente acuerdo.</w:t>
      </w:r>
    </w:p>
    <w:p w:rsidR="00D070E2" w:rsidRPr="00A861A0" w:rsidRDefault="00EE3344" w:rsidP="00D070E2">
      <w:pPr>
        <w:rPr>
          <w:rFonts w:ascii="Arial" w:hAnsi="Arial" w:cs="Arial"/>
          <w:sz w:val="23"/>
          <w:szCs w:val="23"/>
        </w:rPr>
      </w:pPr>
      <w:r w:rsidRPr="00A861A0">
        <w:rPr>
          <w:rFonts w:ascii="Arial" w:hAnsi="Arial" w:cs="Arial"/>
          <w:b/>
          <w:sz w:val="23"/>
          <w:szCs w:val="23"/>
        </w:rPr>
        <w:t xml:space="preserve">Segundo. </w:t>
      </w:r>
      <w:r w:rsidR="00D070E2" w:rsidRPr="00A861A0">
        <w:rPr>
          <w:rFonts w:ascii="Arial" w:hAnsi="Arial" w:cs="Arial"/>
          <w:sz w:val="23"/>
          <w:szCs w:val="23"/>
        </w:rPr>
        <w:t>Los</w:t>
      </w:r>
      <w:r w:rsidR="00D070E2" w:rsidRPr="00A861A0">
        <w:rPr>
          <w:rFonts w:ascii="Arial" w:hAnsi="Arial" w:cs="Arial"/>
          <w:b/>
          <w:sz w:val="23"/>
          <w:szCs w:val="23"/>
        </w:rPr>
        <w:t xml:space="preserve"> </w:t>
      </w:r>
      <w:r w:rsidR="00D070E2" w:rsidRPr="00A861A0">
        <w:rPr>
          <w:rFonts w:ascii="Arial" w:hAnsi="Arial" w:cs="Arial"/>
          <w:sz w:val="23"/>
          <w:szCs w:val="23"/>
        </w:rPr>
        <w:t>Lineamientos para la constitución y registro de partidos políticos locales en el Estado Libre y Soberano de Tabasco y sus anexos entrarán en vigor a partir del día siguiente de la aprobación del presente acuerdo.</w:t>
      </w:r>
    </w:p>
    <w:p w:rsidR="00EE3344" w:rsidRPr="00A861A0" w:rsidRDefault="00654642" w:rsidP="00EE3344">
      <w:pPr>
        <w:rPr>
          <w:rFonts w:ascii="Arial" w:hAnsi="Arial" w:cs="Arial"/>
          <w:sz w:val="23"/>
          <w:szCs w:val="23"/>
        </w:rPr>
      </w:pPr>
      <w:r w:rsidRPr="00A861A0">
        <w:rPr>
          <w:rFonts w:ascii="Arial" w:hAnsi="Arial" w:cs="Arial"/>
          <w:b/>
          <w:sz w:val="23"/>
          <w:szCs w:val="23"/>
        </w:rPr>
        <w:t xml:space="preserve">Tercero. </w:t>
      </w:r>
      <w:r w:rsidR="00EE3344" w:rsidRPr="00A861A0">
        <w:rPr>
          <w:rFonts w:ascii="Arial" w:hAnsi="Arial" w:cs="Arial"/>
          <w:sz w:val="23"/>
          <w:szCs w:val="23"/>
        </w:rPr>
        <w:t>Se derogan los Lineamientos</w:t>
      </w:r>
      <w:r w:rsidR="00655D10" w:rsidRPr="00A861A0">
        <w:rPr>
          <w:rFonts w:ascii="Arial" w:hAnsi="Arial" w:cs="Arial"/>
          <w:sz w:val="23"/>
          <w:szCs w:val="23"/>
        </w:rPr>
        <w:t xml:space="preserve"> que debían observar las personas jurídico colectivas que pretendían constituir un partido político local, aprobados por este órgano electoral mediante acuerdos</w:t>
      </w:r>
      <w:r w:rsidR="009231D6" w:rsidRPr="00A861A0">
        <w:rPr>
          <w:rFonts w:ascii="Arial" w:hAnsi="Arial" w:cs="Arial"/>
          <w:sz w:val="23"/>
          <w:szCs w:val="23"/>
        </w:rPr>
        <w:t xml:space="preserve"> CE/2018/86 y CE/2019/07</w:t>
      </w:r>
      <w:r w:rsidR="00D070E2" w:rsidRPr="00A861A0">
        <w:rPr>
          <w:rFonts w:ascii="Arial" w:hAnsi="Arial" w:cs="Arial"/>
          <w:sz w:val="23"/>
          <w:szCs w:val="23"/>
        </w:rPr>
        <w:t>.</w:t>
      </w:r>
    </w:p>
    <w:p w:rsidR="00654642" w:rsidRPr="00A861A0" w:rsidRDefault="00654642" w:rsidP="00EE3344">
      <w:pPr>
        <w:rPr>
          <w:rFonts w:ascii="Arial" w:hAnsi="Arial" w:cs="Arial"/>
          <w:sz w:val="23"/>
          <w:szCs w:val="23"/>
        </w:rPr>
      </w:pPr>
      <w:r w:rsidRPr="00A861A0">
        <w:rPr>
          <w:rFonts w:ascii="Arial" w:hAnsi="Arial" w:cs="Arial"/>
          <w:b/>
          <w:sz w:val="23"/>
          <w:szCs w:val="23"/>
        </w:rPr>
        <w:t>Cuarto.</w:t>
      </w:r>
      <w:r w:rsidRPr="00A861A0">
        <w:rPr>
          <w:rFonts w:ascii="Arial" w:hAnsi="Arial" w:cs="Arial"/>
          <w:sz w:val="23"/>
          <w:szCs w:val="23"/>
        </w:rPr>
        <w:t xml:space="preserve"> La difusión de los Lineamientos aprobados estará a cargo de la Secretaría Ejecutiva y la Dirección de Organización Electoral y Educación Cívica.</w:t>
      </w:r>
    </w:p>
    <w:p w:rsidR="003F5DAD" w:rsidRPr="00A861A0" w:rsidRDefault="00654642" w:rsidP="003F5DAD">
      <w:pPr>
        <w:rPr>
          <w:rFonts w:ascii="Arial" w:hAnsi="Arial" w:cs="Arial"/>
          <w:sz w:val="23"/>
          <w:szCs w:val="23"/>
        </w:rPr>
      </w:pPr>
      <w:r w:rsidRPr="00A861A0">
        <w:rPr>
          <w:rFonts w:ascii="Arial" w:hAnsi="Arial" w:cs="Arial"/>
          <w:b/>
          <w:bCs/>
          <w:sz w:val="23"/>
          <w:szCs w:val="23"/>
        </w:rPr>
        <w:lastRenderedPageBreak/>
        <w:t>Quinto</w:t>
      </w:r>
      <w:r w:rsidR="003F5DAD" w:rsidRPr="00A861A0">
        <w:rPr>
          <w:rFonts w:ascii="Arial" w:hAnsi="Arial" w:cs="Arial"/>
          <w:b/>
          <w:bCs/>
          <w:sz w:val="23"/>
          <w:szCs w:val="23"/>
        </w:rPr>
        <w:t>.</w:t>
      </w:r>
      <w:r w:rsidRPr="00A861A0">
        <w:rPr>
          <w:rFonts w:ascii="Arial" w:hAnsi="Arial" w:cs="Arial"/>
          <w:b/>
          <w:bCs/>
          <w:sz w:val="23"/>
          <w:szCs w:val="23"/>
        </w:rPr>
        <w:t xml:space="preserve"> </w:t>
      </w:r>
      <w:r w:rsidRPr="00A861A0">
        <w:rPr>
          <w:rFonts w:ascii="Arial" w:hAnsi="Arial" w:cs="Arial"/>
          <w:bCs/>
          <w:sz w:val="23"/>
          <w:szCs w:val="23"/>
        </w:rPr>
        <w:t>S</w:t>
      </w:r>
      <w:r w:rsidR="003F5DAD" w:rsidRPr="00A861A0">
        <w:rPr>
          <w:rFonts w:ascii="Arial" w:hAnsi="Arial" w:cs="Arial"/>
          <w:sz w:val="23"/>
          <w:szCs w:val="23"/>
        </w:rPr>
        <w:t>e instruye a la Secretaría Ejecutiva de este Instituto para que, por conducto de la Coordinación de Vinculación con el Instituto Nacional Electoral notifique el presente acuerdo al citado organismo nacional, a través de su Unidad Técnica de Vinculación con los Organismos Públicos Locales.</w:t>
      </w:r>
    </w:p>
    <w:p w:rsidR="003F5DAD" w:rsidRPr="00A861A0" w:rsidRDefault="00654642" w:rsidP="003F5DAD">
      <w:pPr>
        <w:rPr>
          <w:rFonts w:ascii="Arial" w:hAnsi="Arial" w:cs="Arial"/>
          <w:sz w:val="23"/>
          <w:szCs w:val="23"/>
        </w:rPr>
      </w:pPr>
      <w:r w:rsidRPr="00A861A0">
        <w:rPr>
          <w:rFonts w:ascii="Arial" w:hAnsi="Arial" w:cs="Arial"/>
          <w:b/>
          <w:sz w:val="23"/>
          <w:szCs w:val="23"/>
        </w:rPr>
        <w:t>Sexto</w:t>
      </w:r>
      <w:r w:rsidR="003F5DAD" w:rsidRPr="00A861A0">
        <w:rPr>
          <w:rFonts w:ascii="Arial" w:hAnsi="Arial" w:cs="Arial"/>
          <w:b/>
          <w:sz w:val="23"/>
          <w:szCs w:val="23"/>
        </w:rPr>
        <w:t>.</w:t>
      </w:r>
      <w:r w:rsidR="003F5DAD" w:rsidRPr="00A861A0">
        <w:rPr>
          <w:rFonts w:ascii="Arial" w:hAnsi="Arial" w:cs="Arial"/>
          <w:sz w:val="23"/>
          <w:szCs w:val="23"/>
        </w:rPr>
        <w:t xml:space="preserve"> Publíquese el presente acuerdo en el Periódico Oficial del Estado y en la página de internet del Instituto, de conformidad con lo dispuesto en el artículo 114 de la Ley Electoral.</w:t>
      </w:r>
    </w:p>
    <w:p w:rsidR="003F5DAD" w:rsidRPr="00A861A0" w:rsidRDefault="003F5DAD" w:rsidP="003F5DAD">
      <w:pPr>
        <w:rPr>
          <w:rFonts w:ascii="Arial" w:hAnsi="Arial" w:cs="Arial"/>
          <w:sz w:val="23"/>
          <w:szCs w:val="23"/>
        </w:rPr>
      </w:pPr>
      <w:r w:rsidRPr="00A861A0">
        <w:rPr>
          <w:rFonts w:ascii="Arial" w:hAnsi="Arial" w:cs="Arial"/>
          <w:sz w:val="23"/>
          <w:szCs w:val="23"/>
        </w:rPr>
        <w:t xml:space="preserve">El presente acuerdo fue </w:t>
      </w:r>
      <w:r w:rsidR="00D72DB4">
        <w:rPr>
          <w:rFonts w:ascii="Arial" w:hAnsi="Arial" w:cs="Arial"/>
          <w:sz w:val="23"/>
          <w:szCs w:val="23"/>
        </w:rPr>
        <w:t>aprobado</w:t>
      </w:r>
      <w:r w:rsidRPr="00A861A0">
        <w:rPr>
          <w:rFonts w:ascii="Arial" w:hAnsi="Arial" w:cs="Arial"/>
          <w:sz w:val="23"/>
          <w:szCs w:val="23"/>
        </w:rPr>
        <w:t xml:space="preserve"> en sesión</w:t>
      </w:r>
      <w:r w:rsidR="00D72DB4">
        <w:rPr>
          <w:rFonts w:ascii="Arial" w:hAnsi="Arial" w:cs="Arial"/>
          <w:sz w:val="23"/>
          <w:szCs w:val="23"/>
        </w:rPr>
        <w:t xml:space="preserve"> ordinaria</w:t>
      </w:r>
      <w:r w:rsidRPr="00A861A0">
        <w:rPr>
          <w:rFonts w:ascii="Arial" w:hAnsi="Arial" w:cs="Arial"/>
          <w:sz w:val="23"/>
          <w:szCs w:val="23"/>
        </w:rPr>
        <w:t xml:space="preserve"> efectuada el </w:t>
      </w:r>
      <w:r w:rsidR="00D72DB4">
        <w:rPr>
          <w:rFonts w:ascii="Arial" w:hAnsi="Arial" w:cs="Arial"/>
          <w:sz w:val="23"/>
          <w:szCs w:val="23"/>
        </w:rPr>
        <w:t>día once</w:t>
      </w:r>
      <w:r w:rsidRPr="00A861A0">
        <w:rPr>
          <w:rFonts w:ascii="Arial" w:hAnsi="Arial" w:cs="Arial"/>
          <w:sz w:val="23"/>
          <w:szCs w:val="23"/>
        </w:rPr>
        <w:t xml:space="preserve"> de</w:t>
      </w:r>
      <w:r w:rsidR="00D72DB4">
        <w:rPr>
          <w:rFonts w:ascii="Arial" w:hAnsi="Arial" w:cs="Arial"/>
          <w:sz w:val="23"/>
          <w:szCs w:val="23"/>
        </w:rPr>
        <w:t xml:space="preserve"> diciembre</w:t>
      </w:r>
      <w:r w:rsidRPr="00A861A0">
        <w:rPr>
          <w:rFonts w:ascii="Arial" w:hAnsi="Arial" w:cs="Arial"/>
          <w:sz w:val="23"/>
          <w:szCs w:val="23"/>
        </w:rPr>
        <w:t xml:space="preserve">  del año dos mil veinticuatro, por votación </w:t>
      </w:r>
      <w:r w:rsidR="00D72DB4">
        <w:rPr>
          <w:rFonts w:ascii="Arial" w:hAnsi="Arial" w:cs="Arial"/>
          <w:sz w:val="23"/>
          <w:szCs w:val="23"/>
        </w:rPr>
        <w:t>unánime</w:t>
      </w:r>
      <w:r w:rsidRPr="00A861A0">
        <w:rPr>
          <w:rFonts w:ascii="Arial" w:hAnsi="Arial" w:cs="Arial"/>
          <w:sz w:val="23"/>
          <w:szCs w:val="23"/>
        </w:rPr>
        <w:t xml:space="preserve"> de las y los Consejeros Electorales del Consejo Estatal del Instituto Electoral y de Participación Ciudadana de Tabasco: Licda. María Elvia Magaña Sandoval, Lic. Hernán González Sala, Lic. Vladimir Hernández Venegas, Licda. Ángela Guadalupe Araujo Segura, Licda. Monserrat Martínez </w:t>
      </w:r>
      <w:proofErr w:type="spellStart"/>
      <w:r w:rsidRPr="00A861A0">
        <w:rPr>
          <w:rFonts w:ascii="Arial" w:hAnsi="Arial" w:cs="Arial"/>
          <w:sz w:val="23"/>
          <w:szCs w:val="23"/>
        </w:rPr>
        <w:t>Beaurregard</w:t>
      </w:r>
      <w:proofErr w:type="spellEnd"/>
      <w:r w:rsidRPr="00A861A0">
        <w:rPr>
          <w:rFonts w:ascii="Arial" w:hAnsi="Arial" w:cs="Arial"/>
          <w:sz w:val="23"/>
          <w:szCs w:val="23"/>
        </w:rPr>
        <w:t xml:space="preserve">, Mtra. Ruth </w:t>
      </w:r>
      <w:proofErr w:type="spellStart"/>
      <w:r w:rsidRPr="00A861A0">
        <w:rPr>
          <w:rFonts w:ascii="Arial" w:hAnsi="Arial" w:cs="Arial"/>
          <w:sz w:val="23"/>
          <w:szCs w:val="23"/>
        </w:rPr>
        <w:t>Lizette</w:t>
      </w:r>
      <w:proofErr w:type="spellEnd"/>
      <w:r w:rsidRPr="00A861A0">
        <w:rPr>
          <w:rFonts w:ascii="Arial" w:hAnsi="Arial" w:cs="Arial"/>
          <w:sz w:val="23"/>
          <w:szCs w:val="23"/>
        </w:rPr>
        <w:t xml:space="preserve"> Toledo Peral y la Consejera Presidenta, Mtra. Elizabeth Nava Gutiérrez.</w:t>
      </w:r>
    </w:p>
    <w:p w:rsidR="003F5DAD" w:rsidRDefault="003F5DAD" w:rsidP="003F5DAD">
      <w:pPr>
        <w:rPr>
          <w:rFonts w:ascii="Arial" w:hAnsi="Arial" w:cs="Arial"/>
          <w:sz w:val="23"/>
          <w:szCs w:val="23"/>
        </w:rPr>
      </w:pPr>
    </w:p>
    <w:p w:rsidR="00A861A0" w:rsidRDefault="00A861A0" w:rsidP="003F5DAD">
      <w:pPr>
        <w:rPr>
          <w:rFonts w:ascii="Arial" w:hAnsi="Arial" w:cs="Arial"/>
          <w:sz w:val="23"/>
          <w:szCs w:val="23"/>
        </w:rPr>
      </w:pPr>
    </w:p>
    <w:p w:rsidR="00A861A0" w:rsidRPr="00A861A0" w:rsidRDefault="00A861A0" w:rsidP="003F5DAD">
      <w:pPr>
        <w:rPr>
          <w:rFonts w:ascii="Arial" w:hAnsi="Arial" w:cs="Arial"/>
          <w:sz w:val="23"/>
          <w:szCs w:val="23"/>
        </w:rPr>
      </w:pPr>
    </w:p>
    <w:tbl>
      <w:tblPr>
        <w:tblStyle w:val="Tablaconcuadrcula"/>
        <w:tblW w:w="907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278"/>
        <w:gridCol w:w="4400"/>
      </w:tblGrid>
      <w:tr w:rsidR="008E31A2" w:rsidRPr="00A861A0" w:rsidTr="00E8617A">
        <w:tc>
          <w:tcPr>
            <w:tcW w:w="4395" w:type="dxa"/>
          </w:tcPr>
          <w:p w:rsidR="003F5DAD" w:rsidRPr="00A861A0" w:rsidRDefault="003F5DAD" w:rsidP="00E8617A">
            <w:pPr>
              <w:widowControl w:val="0"/>
              <w:spacing w:before="0" w:after="0"/>
              <w:jc w:val="center"/>
              <w:rPr>
                <w:rFonts w:ascii="Arial" w:hAnsi="Arial" w:cs="Arial"/>
                <w:b/>
                <w:spacing w:val="-10"/>
                <w:sz w:val="23"/>
                <w:szCs w:val="23"/>
              </w:rPr>
            </w:pPr>
            <w:r w:rsidRPr="00A861A0">
              <w:rPr>
                <w:rFonts w:ascii="Arial" w:hAnsi="Arial" w:cs="Arial"/>
                <w:b/>
                <w:spacing w:val="-10"/>
                <w:sz w:val="23"/>
                <w:szCs w:val="23"/>
              </w:rPr>
              <w:t>MTRA. ELIZABETH NAVA GUTIÉRREZ</w:t>
            </w:r>
          </w:p>
          <w:p w:rsidR="003F5DAD" w:rsidRPr="00A861A0" w:rsidRDefault="003F5DAD" w:rsidP="00E8617A">
            <w:pPr>
              <w:widowControl w:val="0"/>
              <w:spacing w:before="0" w:after="0"/>
              <w:jc w:val="center"/>
              <w:rPr>
                <w:rFonts w:ascii="Arial" w:hAnsi="Arial" w:cs="Arial"/>
                <w:b/>
                <w:sz w:val="23"/>
                <w:szCs w:val="23"/>
              </w:rPr>
            </w:pPr>
            <w:r w:rsidRPr="00A861A0">
              <w:rPr>
                <w:rFonts w:ascii="Arial" w:hAnsi="Arial" w:cs="Arial"/>
                <w:b/>
                <w:spacing w:val="-10"/>
                <w:sz w:val="23"/>
                <w:szCs w:val="23"/>
              </w:rPr>
              <w:t>CONSEJERA PRESIDENTA</w:t>
            </w:r>
          </w:p>
        </w:tc>
        <w:tc>
          <w:tcPr>
            <w:tcW w:w="278" w:type="dxa"/>
          </w:tcPr>
          <w:p w:rsidR="003F5DAD" w:rsidRPr="00A861A0" w:rsidRDefault="003F5DAD" w:rsidP="00E8617A">
            <w:pPr>
              <w:widowControl w:val="0"/>
              <w:spacing w:before="0" w:after="0"/>
              <w:rPr>
                <w:rFonts w:ascii="Arial" w:hAnsi="Arial" w:cs="Arial"/>
                <w:b/>
                <w:sz w:val="23"/>
                <w:szCs w:val="23"/>
              </w:rPr>
            </w:pPr>
          </w:p>
        </w:tc>
        <w:tc>
          <w:tcPr>
            <w:tcW w:w="4400" w:type="dxa"/>
          </w:tcPr>
          <w:p w:rsidR="003F5DAD" w:rsidRPr="00A861A0" w:rsidRDefault="003F5DAD" w:rsidP="00E8617A">
            <w:pPr>
              <w:widowControl w:val="0"/>
              <w:spacing w:before="0" w:after="0"/>
              <w:jc w:val="center"/>
              <w:rPr>
                <w:rFonts w:ascii="Arial" w:hAnsi="Arial" w:cs="Arial"/>
                <w:b/>
                <w:spacing w:val="-10"/>
                <w:sz w:val="23"/>
                <w:szCs w:val="23"/>
              </w:rPr>
            </w:pPr>
            <w:r w:rsidRPr="00A861A0">
              <w:rPr>
                <w:rFonts w:ascii="Arial" w:hAnsi="Arial" w:cs="Arial"/>
                <w:b/>
                <w:spacing w:val="-10"/>
                <w:sz w:val="23"/>
                <w:szCs w:val="23"/>
              </w:rPr>
              <w:t>LIC. JORGE ALBERTO ZAVALA FRÍAS</w:t>
            </w:r>
          </w:p>
          <w:p w:rsidR="003F5DAD" w:rsidRPr="00A861A0" w:rsidRDefault="003F5DAD" w:rsidP="00E8617A">
            <w:pPr>
              <w:widowControl w:val="0"/>
              <w:spacing w:before="0" w:after="0"/>
              <w:jc w:val="center"/>
              <w:rPr>
                <w:rFonts w:ascii="Arial" w:hAnsi="Arial" w:cs="Arial"/>
                <w:b/>
                <w:sz w:val="23"/>
                <w:szCs w:val="23"/>
              </w:rPr>
            </w:pPr>
            <w:r w:rsidRPr="00A861A0">
              <w:rPr>
                <w:rFonts w:ascii="Arial" w:hAnsi="Arial" w:cs="Arial"/>
                <w:b/>
                <w:spacing w:val="-10"/>
                <w:sz w:val="23"/>
                <w:szCs w:val="23"/>
              </w:rPr>
              <w:t>SECRETARIO DEL CONSEJO</w:t>
            </w:r>
          </w:p>
        </w:tc>
      </w:tr>
    </w:tbl>
    <w:p w:rsidR="003F5DAD" w:rsidRPr="00A861A0" w:rsidRDefault="003F5DAD" w:rsidP="00A861A0">
      <w:pPr>
        <w:rPr>
          <w:rFonts w:ascii="Arial" w:hAnsi="Arial" w:cs="Arial"/>
          <w:sz w:val="23"/>
          <w:szCs w:val="23"/>
        </w:rPr>
      </w:pPr>
    </w:p>
    <w:sectPr w:rsidR="003F5DAD" w:rsidRPr="00A861A0" w:rsidSect="005B27DD">
      <w:headerReference w:type="default" r:id="rId8"/>
      <w:footerReference w:type="default" r:id="rId9"/>
      <w:pgSz w:w="12240" w:h="15840" w:code="1"/>
      <w:pgMar w:top="2835" w:right="1750" w:bottom="1276" w:left="1701" w:header="425"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4850" w:rsidRDefault="00B64850" w:rsidP="00B0401E">
      <w:pPr>
        <w:spacing w:before="0" w:after="0" w:line="240" w:lineRule="auto"/>
      </w:pPr>
      <w:r>
        <w:separator/>
      </w:r>
    </w:p>
  </w:endnote>
  <w:endnote w:type="continuationSeparator" w:id="0">
    <w:p w:rsidR="00B64850" w:rsidRDefault="00B64850" w:rsidP="00B0401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69D39839-0A39-4BFE-8545-FDCCA0FAEE9E}"/>
    <w:embedBold r:id="rId2" w:fontKey="{43198FFC-D1B7-4AE1-AAF3-2619BDA561FA}"/>
  </w:font>
  <w:font w:name="Exo">
    <w:altName w:val="Times New Roman"/>
    <w:charset w:val="00"/>
    <w:family w:val="auto"/>
    <w:pitch w:val="variable"/>
    <w:sig w:usb0="00000001" w:usb1="4000204B" w:usb2="00000000" w:usb3="00000000" w:csb0="00000193" w:csb1="00000000"/>
    <w:embedRegular r:id="rId3" w:fontKey="{9189DDB2-5A9D-4571-9E49-62DA42FF95AE}"/>
    <w:embedBold r:id="rId4" w:fontKey="{6EE323CE-22FB-453A-A502-DA0BB3FB995D}"/>
  </w:font>
  <w:font w:name="Calibri Light">
    <w:panose1 w:val="020F0302020204030204"/>
    <w:charset w:val="00"/>
    <w:family w:val="swiss"/>
    <w:pitch w:val="variable"/>
    <w:sig w:usb0="E4002EFF" w:usb1="C200247B" w:usb2="00000009" w:usb3="00000000" w:csb0="000001FF" w:csb1="00000000"/>
    <w:embedRegular r:id="rId5" w:fontKey="{1C72037A-B9A2-4B40-90F6-EBEB03477253}"/>
    <w:embedItalic r:id="rId6" w:fontKey="{C6961EF3-ABAF-459A-A90E-EAD6B50F1E1A}"/>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color w:val="993366"/>
        <w:sz w:val="20"/>
        <w:szCs w:val="20"/>
      </w:rPr>
      <w:id w:val="1484667166"/>
      <w:docPartObj>
        <w:docPartGallery w:val="Page Numbers (Top of Page)"/>
        <w:docPartUnique/>
      </w:docPartObj>
    </w:sdtPr>
    <w:sdtEndPr/>
    <w:sdtContent>
      <w:p w:rsidR="00AA19CB" w:rsidRPr="00A861A0" w:rsidRDefault="00AA19CB" w:rsidP="00AA19CB">
        <w:pPr>
          <w:pStyle w:val="Piedepgina"/>
          <w:jc w:val="right"/>
          <w:rPr>
            <w:rFonts w:ascii="Arial" w:hAnsi="Arial" w:cs="Arial"/>
            <w:color w:val="993366"/>
            <w:sz w:val="20"/>
            <w:szCs w:val="20"/>
          </w:rPr>
        </w:pPr>
        <w:r w:rsidRPr="00A861A0">
          <w:rPr>
            <w:rFonts w:ascii="Arial" w:hAnsi="Arial" w:cs="Arial"/>
            <w:b/>
            <w:bCs/>
            <w:color w:val="993366"/>
          </w:rPr>
          <w:t xml:space="preserve">Página </w:t>
        </w:r>
        <w:r w:rsidRPr="00A861A0">
          <w:rPr>
            <w:rFonts w:ascii="Arial" w:hAnsi="Arial" w:cs="Arial"/>
            <w:b/>
            <w:bCs/>
            <w:color w:val="993366"/>
          </w:rPr>
          <w:fldChar w:fldCharType="begin"/>
        </w:r>
        <w:r w:rsidRPr="00A861A0">
          <w:rPr>
            <w:rFonts w:ascii="Arial" w:hAnsi="Arial" w:cs="Arial"/>
            <w:b/>
            <w:bCs/>
            <w:color w:val="993366"/>
          </w:rPr>
          <w:instrText>PAGE</w:instrText>
        </w:r>
        <w:r w:rsidRPr="00A861A0">
          <w:rPr>
            <w:rFonts w:ascii="Arial" w:hAnsi="Arial" w:cs="Arial"/>
            <w:b/>
            <w:bCs/>
            <w:color w:val="993366"/>
          </w:rPr>
          <w:fldChar w:fldCharType="separate"/>
        </w:r>
        <w:r w:rsidR="005B27DD">
          <w:rPr>
            <w:rFonts w:ascii="Arial" w:hAnsi="Arial" w:cs="Arial"/>
            <w:b/>
            <w:bCs/>
            <w:noProof/>
            <w:color w:val="993366"/>
          </w:rPr>
          <w:t>15</w:t>
        </w:r>
        <w:r w:rsidRPr="00A861A0">
          <w:rPr>
            <w:rFonts w:ascii="Arial" w:hAnsi="Arial" w:cs="Arial"/>
            <w:b/>
            <w:bCs/>
            <w:color w:val="993366"/>
          </w:rPr>
          <w:fldChar w:fldCharType="end"/>
        </w:r>
        <w:r w:rsidRPr="00A861A0">
          <w:rPr>
            <w:rFonts w:ascii="Arial" w:hAnsi="Arial" w:cs="Arial"/>
            <w:b/>
            <w:bCs/>
            <w:color w:val="993366"/>
          </w:rPr>
          <w:t xml:space="preserve"> | </w:t>
        </w:r>
        <w:r w:rsidRPr="00A861A0">
          <w:rPr>
            <w:rFonts w:ascii="Arial" w:hAnsi="Arial" w:cs="Arial"/>
            <w:b/>
            <w:bCs/>
            <w:color w:val="993366"/>
          </w:rPr>
          <w:fldChar w:fldCharType="begin"/>
        </w:r>
        <w:r w:rsidRPr="00A861A0">
          <w:rPr>
            <w:rFonts w:ascii="Arial" w:hAnsi="Arial" w:cs="Arial"/>
            <w:b/>
            <w:bCs/>
            <w:color w:val="993366"/>
          </w:rPr>
          <w:instrText>NUMPAGES</w:instrText>
        </w:r>
        <w:r w:rsidRPr="00A861A0">
          <w:rPr>
            <w:rFonts w:ascii="Arial" w:hAnsi="Arial" w:cs="Arial"/>
            <w:b/>
            <w:bCs/>
            <w:color w:val="993366"/>
          </w:rPr>
          <w:fldChar w:fldCharType="separate"/>
        </w:r>
        <w:r w:rsidR="005B27DD">
          <w:rPr>
            <w:rFonts w:ascii="Arial" w:hAnsi="Arial" w:cs="Arial"/>
            <w:b/>
            <w:bCs/>
            <w:noProof/>
            <w:color w:val="993366"/>
          </w:rPr>
          <w:t>15</w:t>
        </w:r>
        <w:r w:rsidRPr="00A861A0">
          <w:rPr>
            <w:rFonts w:ascii="Arial" w:hAnsi="Arial" w:cs="Arial"/>
            <w:b/>
            <w:bCs/>
            <w:color w:val="993366"/>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4850" w:rsidRDefault="00B64850" w:rsidP="00B0401E">
      <w:pPr>
        <w:spacing w:before="0" w:after="0" w:line="240" w:lineRule="auto"/>
      </w:pPr>
      <w:r>
        <w:separator/>
      </w:r>
    </w:p>
  </w:footnote>
  <w:footnote w:type="continuationSeparator" w:id="0">
    <w:p w:rsidR="00B64850" w:rsidRDefault="00B64850" w:rsidP="00B0401E">
      <w:pPr>
        <w:spacing w:before="0" w:after="0" w:line="240" w:lineRule="auto"/>
      </w:pPr>
      <w:r>
        <w:continuationSeparator/>
      </w:r>
    </w:p>
  </w:footnote>
  <w:footnote w:id="1">
    <w:p w:rsidR="00B0401E" w:rsidRPr="00536F12" w:rsidRDefault="00B0401E" w:rsidP="00BE494F">
      <w:pPr>
        <w:pStyle w:val="Textonotapie"/>
        <w:rPr>
          <w:sz w:val="14"/>
          <w:szCs w:val="16"/>
        </w:rPr>
      </w:pPr>
      <w:r w:rsidRPr="00536F12">
        <w:rPr>
          <w:rStyle w:val="Refdenotaalpie"/>
          <w:sz w:val="14"/>
          <w:szCs w:val="16"/>
        </w:rPr>
        <w:footnoteRef/>
      </w:r>
      <w:r w:rsidRPr="00536F12">
        <w:rPr>
          <w:sz w:val="14"/>
          <w:szCs w:val="16"/>
        </w:rPr>
        <w:t xml:space="preserve"> Jurisprudencia 54/2009 con rubro: “COALICIONES PARTIDARIAS. EL ARTÍCULO 95, PÁRRAFOS 9 Y 10, DEL CÓDIGO FEDERAL DE INSTITUCIONES Y PROCEDIMIENTOS ELECTORALES NO TRANSGREDE LA LIBERTAD DE ASOCIACIÓN EN MATERIA POLÍTICA.”, Pleno, Suprema Corte de Justicia de la Nación, Semanario Judicial de la Federación y su Gaceta, Tomo XXX, Julio, 2009.</w:t>
      </w:r>
    </w:p>
  </w:footnote>
  <w:footnote w:id="2">
    <w:p w:rsidR="00BE494F" w:rsidRPr="00536F12" w:rsidRDefault="00BE494F" w:rsidP="00BE494F">
      <w:pPr>
        <w:pStyle w:val="Textonotapie"/>
        <w:rPr>
          <w:sz w:val="14"/>
          <w:szCs w:val="16"/>
        </w:rPr>
      </w:pPr>
      <w:r w:rsidRPr="00536F12">
        <w:rPr>
          <w:rStyle w:val="Refdenotaalpie"/>
          <w:sz w:val="14"/>
          <w:szCs w:val="16"/>
        </w:rPr>
        <w:footnoteRef/>
      </w:r>
      <w:r w:rsidRPr="00536F12">
        <w:rPr>
          <w:sz w:val="14"/>
          <w:szCs w:val="16"/>
        </w:rPr>
        <w:t xml:space="preserve"> Jurisprudencia 25/2002, de rubro: “DERECHO DE ASOCIACIÓN EN MATERIA POLÍTICO-ELECTORAL. BASE DE LA FORMACIÓN DE LOS PARTIDOS POLÍTICOS Y AGRUPACIONES POLÍTICAS.”, Sala Superior, Justicia Electoral. Revista del Tribunal Electoral del Poder Judicial de la Federación, Suplemento 6, Año 2003, páginas 21 y 22.</w:t>
      </w:r>
    </w:p>
  </w:footnote>
  <w:footnote w:id="3">
    <w:p w:rsidR="00536F12" w:rsidRPr="00536F12" w:rsidRDefault="00536F12">
      <w:pPr>
        <w:pStyle w:val="Textonotapie"/>
        <w:rPr>
          <w:sz w:val="14"/>
          <w:szCs w:val="16"/>
        </w:rPr>
      </w:pPr>
      <w:r w:rsidRPr="00536F12">
        <w:rPr>
          <w:rStyle w:val="Refdenotaalpie"/>
          <w:sz w:val="14"/>
          <w:szCs w:val="16"/>
        </w:rPr>
        <w:footnoteRef/>
      </w:r>
      <w:r w:rsidRPr="00536F12">
        <w:rPr>
          <w:sz w:val="14"/>
          <w:szCs w:val="16"/>
        </w:rPr>
        <w:t xml:space="preserve"> SUP-REC-0249-2024</w:t>
      </w:r>
    </w:p>
  </w:footnote>
  <w:footnote w:id="4">
    <w:p w:rsidR="00F201A9" w:rsidRPr="00536F12" w:rsidRDefault="00F201A9" w:rsidP="00F201A9">
      <w:pPr>
        <w:pStyle w:val="Textonotapie"/>
        <w:rPr>
          <w:sz w:val="14"/>
          <w:szCs w:val="16"/>
        </w:rPr>
      </w:pPr>
      <w:r w:rsidRPr="00536F12">
        <w:rPr>
          <w:rStyle w:val="Refdenotaalpie"/>
          <w:sz w:val="14"/>
          <w:szCs w:val="16"/>
        </w:rPr>
        <w:footnoteRef/>
      </w:r>
      <w:r w:rsidRPr="00536F12">
        <w:rPr>
          <w:sz w:val="14"/>
          <w:szCs w:val="16"/>
        </w:rPr>
        <w:t xml:space="preserve"> Consultable en Justicia Electoral. Revista del Tribunal Electoral del Poder Judicial de la Federación, Suplemento 6, año, 2003, páginas 19 y 20.</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936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6242"/>
      <w:gridCol w:w="1701"/>
    </w:tblGrid>
    <w:tr w:rsidR="00BA6D0C" w:rsidRPr="00D72DB4" w:rsidTr="00E8617A">
      <w:tc>
        <w:tcPr>
          <w:tcW w:w="1418" w:type="dxa"/>
        </w:tcPr>
        <w:p w:rsidR="00BA6D0C" w:rsidRPr="00D72DB4" w:rsidRDefault="00BA6D0C" w:rsidP="00BA6D0C">
          <w:pPr>
            <w:pStyle w:val="Encabezado"/>
            <w:ind w:left="-170"/>
            <w:jc w:val="left"/>
            <w:rPr>
              <w:sz w:val="24"/>
              <w:szCs w:val="24"/>
            </w:rPr>
          </w:pPr>
          <w:r w:rsidRPr="00D72DB4">
            <w:rPr>
              <w:b/>
              <w:noProof/>
              <w:sz w:val="24"/>
              <w:szCs w:val="24"/>
              <w:lang w:val="es-MX" w:eastAsia="es-MX"/>
            </w:rPr>
            <w:drawing>
              <wp:inline distT="0" distB="0" distL="0" distR="0" wp14:anchorId="59BFB182" wp14:editId="2A09B6E6">
                <wp:extent cx="1014331" cy="1199403"/>
                <wp:effectExtent l="0" t="0" r="0" b="1270"/>
                <wp:docPr id="23" name="Imagen 23" descr="Dibujo animado de un animal con la boca abiert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Dibujo animado de un animal con la boca abiert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1025855" cy="1213030"/>
                        </a:xfrm>
                        <a:prstGeom prst="rect">
                          <a:avLst/>
                        </a:prstGeom>
                      </pic:spPr>
                    </pic:pic>
                  </a:graphicData>
                </a:graphic>
              </wp:inline>
            </w:drawing>
          </w:r>
        </w:p>
      </w:tc>
      <w:tc>
        <w:tcPr>
          <w:tcW w:w="6242" w:type="dxa"/>
        </w:tcPr>
        <w:p w:rsidR="00BA6D0C" w:rsidRPr="00D72DB4" w:rsidRDefault="00BA6D0C" w:rsidP="00BA6D0C">
          <w:pPr>
            <w:pStyle w:val="Encabezado"/>
            <w:spacing w:before="720"/>
            <w:jc w:val="center"/>
            <w:rPr>
              <w:rFonts w:ascii="Arial" w:hAnsi="Arial" w:cs="Arial"/>
              <w:b/>
              <w:bCs/>
              <w:sz w:val="24"/>
              <w:szCs w:val="24"/>
            </w:rPr>
          </w:pPr>
          <w:r w:rsidRPr="00D72DB4">
            <w:rPr>
              <w:rFonts w:ascii="Arial" w:hAnsi="Arial" w:cs="Arial"/>
              <w:b/>
              <w:bCs/>
              <w:sz w:val="24"/>
              <w:szCs w:val="24"/>
            </w:rPr>
            <w:t>INSTITUTO ELECTORAL Y DE PARTICIPACIÓN CIUDADANA DE TABASCO</w:t>
          </w:r>
        </w:p>
        <w:p w:rsidR="00BA6D0C" w:rsidRPr="00D72DB4" w:rsidRDefault="00BA6D0C" w:rsidP="00BA6D0C">
          <w:pPr>
            <w:pStyle w:val="Encabezado"/>
            <w:jc w:val="center"/>
            <w:rPr>
              <w:sz w:val="24"/>
              <w:szCs w:val="24"/>
            </w:rPr>
          </w:pPr>
          <w:r w:rsidRPr="00D72DB4">
            <w:rPr>
              <w:rFonts w:ascii="Arial" w:hAnsi="Arial" w:cs="Arial"/>
              <w:sz w:val="24"/>
              <w:szCs w:val="24"/>
            </w:rPr>
            <w:t>CONSEJO ESTATAL</w:t>
          </w:r>
        </w:p>
      </w:tc>
      <w:tc>
        <w:tcPr>
          <w:tcW w:w="1701" w:type="dxa"/>
        </w:tcPr>
        <w:p w:rsidR="00BA6D0C" w:rsidRPr="00D72DB4" w:rsidRDefault="00BA6D0C" w:rsidP="00BA6D0C">
          <w:pPr>
            <w:pStyle w:val="Encabezado"/>
            <w:spacing w:before="480"/>
            <w:rPr>
              <w:sz w:val="24"/>
              <w:szCs w:val="24"/>
            </w:rPr>
          </w:pPr>
          <w:r w:rsidRPr="00D72DB4">
            <w:rPr>
              <w:noProof/>
              <w:sz w:val="24"/>
              <w:szCs w:val="24"/>
              <w:lang w:val="es-MX" w:eastAsia="es-MX"/>
            </w:rPr>
            <w:drawing>
              <wp:inline distT="0" distB="0" distL="0" distR="0" wp14:anchorId="51BA53E5" wp14:editId="743156D3">
                <wp:extent cx="942975" cy="774065"/>
                <wp:effectExtent l="0" t="0" r="9525" b="6985"/>
                <wp:docPr id="24" name="Imagen 24" descr="Logotipo,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41557" name="Imagen 1008241557" descr="Logotipo, Icono&#10;&#10;Descripción generada automáticamente"/>
                        <pic:cNvPicPr/>
                      </pic:nvPicPr>
                      <pic:blipFill>
                        <a:blip r:embed="rId2" cstate="print">
                          <a:extLst>
                            <a:ext uri="{28A0092B-C50C-407E-A947-70E740481C1C}">
                              <a14:useLocalDpi xmlns:a14="http://schemas.microsoft.com/office/drawing/2010/main" val="0"/>
                            </a:ext>
                          </a:extLst>
                        </a:blip>
                        <a:stretch>
                          <a:fillRect/>
                        </a:stretch>
                      </pic:blipFill>
                      <pic:spPr>
                        <a:xfrm>
                          <a:off x="0" y="0"/>
                          <a:ext cx="942975" cy="774065"/>
                        </a:xfrm>
                        <a:prstGeom prst="rect">
                          <a:avLst/>
                        </a:prstGeom>
                      </pic:spPr>
                    </pic:pic>
                  </a:graphicData>
                </a:graphic>
              </wp:inline>
            </w:drawing>
          </w:r>
        </w:p>
      </w:tc>
    </w:tr>
  </w:tbl>
  <w:p w:rsidR="00BA6D0C" w:rsidRPr="00D72DB4" w:rsidRDefault="00D72DB4" w:rsidP="00D72DB4">
    <w:pPr>
      <w:pStyle w:val="Encabezado"/>
      <w:jc w:val="right"/>
      <w:rPr>
        <w:rFonts w:ascii="Arial" w:hAnsi="Arial" w:cs="Arial"/>
        <w:b/>
        <w:sz w:val="24"/>
        <w:szCs w:val="24"/>
      </w:rPr>
    </w:pPr>
    <w:r w:rsidRPr="00D72DB4">
      <w:rPr>
        <w:rFonts w:ascii="Arial" w:hAnsi="Arial" w:cs="Arial"/>
        <w:b/>
        <w:sz w:val="24"/>
        <w:szCs w:val="24"/>
      </w:rPr>
      <w:t>CE/2024/105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9558D"/>
    <w:multiLevelType w:val="hybridMultilevel"/>
    <w:tmpl w:val="710E9664"/>
    <w:lvl w:ilvl="0" w:tplc="37ECB61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99556BC"/>
    <w:multiLevelType w:val="hybridMultilevel"/>
    <w:tmpl w:val="D6F65296"/>
    <w:lvl w:ilvl="0" w:tplc="1A6262E8">
      <w:start w:val="1"/>
      <w:numFmt w:val="lowerLetter"/>
      <w:lvlText w:val="%1)"/>
      <w:lvlJc w:val="left"/>
      <w:pPr>
        <w:ind w:left="1065" w:hanging="705"/>
      </w:pPr>
      <w:rPr>
        <w:rFonts w:hint="default"/>
      </w:rPr>
    </w:lvl>
    <w:lvl w:ilvl="1" w:tplc="37ECB618">
      <w:start w:val="1"/>
      <w:numFmt w:val="upperRoman"/>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46C14DD"/>
    <w:multiLevelType w:val="hybridMultilevel"/>
    <w:tmpl w:val="45D8E670"/>
    <w:lvl w:ilvl="0" w:tplc="1A6262E8">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F697D56"/>
    <w:multiLevelType w:val="hybridMultilevel"/>
    <w:tmpl w:val="1310C8CA"/>
    <w:lvl w:ilvl="0" w:tplc="E7EAB8C0">
      <w:start w:val="1"/>
      <w:numFmt w:val="upperRoman"/>
      <w:lvlText w:val="%1."/>
      <w:lvlJc w:val="left"/>
      <w:pPr>
        <w:ind w:left="1080" w:hanging="720"/>
      </w:pPr>
      <w:rPr>
        <w:rFonts w:hint="default"/>
      </w:r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45E3380"/>
    <w:multiLevelType w:val="hybridMultilevel"/>
    <w:tmpl w:val="CDA4AE78"/>
    <w:lvl w:ilvl="0" w:tplc="37ECB618">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8DE5CF0"/>
    <w:multiLevelType w:val="hybridMultilevel"/>
    <w:tmpl w:val="4E40522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521A69EB"/>
    <w:multiLevelType w:val="hybridMultilevel"/>
    <w:tmpl w:val="ABBE2CB0"/>
    <w:lvl w:ilvl="0" w:tplc="1A6262E8">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237553E"/>
    <w:multiLevelType w:val="hybridMultilevel"/>
    <w:tmpl w:val="F6E2DEC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6BB188E"/>
    <w:multiLevelType w:val="hybridMultilevel"/>
    <w:tmpl w:val="1A0C9E1E"/>
    <w:lvl w:ilvl="0" w:tplc="C15680E0">
      <w:start w:val="1"/>
      <w:numFmt w:val="upperRoman"/>
      <w:lvlText w:val="%1."/>
      <w:lvlJc w:val="left"/>
      <w:pPr>
        <w:ind w:left="1080" w:hanging="720"/>
      </w:pPr>
      <w:rPr>
        <w:rFonts w:hint="default"/>
      </w:rPr>
    </w:lvl>
    <w:lvl w:ilvl="1" w:tplc="5B1A53E2">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06B7837"/>
    <w:multiLevelType w:val="multilevel"/>
    <w:tmpl w:val="08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0" w15:restartNumberingAfterBreak="0">
    <w:nsid w:val="78024391"/>
    <w:multiLevelType w:val="hybridMultilevel"/>
    <w:tmpl w:val="F3EC3B9A"/>
    <w:lvl w:ilvl="0" w:tplc="1A6262E8">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8E11E66"/>
    <w:multiLevelType w:val="hybridMultilevel"/>
    <w:tmpl w:val="313889CA"/>
    <w:lvl w:ilvl="0" w:tplc="37ECB61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3"/>
  </w:num>
  <w:num w:numId="3">
    <w:abstractNumId w:val="5"/>
  </w:num>
  <w:num w:numId="4">
    <w:abstractNumId w:val="8"/>
  </w:num>
  <w:num w:numId="5">
    <w:abstractNumId w:val="11"/>
  </w:num>
  <w:num w:numId="6">
    <w:abstractNumId w:val="0"/>
  </w:num>
  <w:num w:numId="7">
    <w:abstractNumId w:val="10"/>
  </w:num>
  <w:num w:numId="8">
    <w:abstractNumId w:val="2"/>
  </w:num>
  <w:num w:numId="9">
    <w:abstractNumId w:val="1"/>
  </w:num>
  <w:num w:numId="10">
    <w:abstractNumId w:val="4"/>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TrueTypeFont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285E"/>
    <w:rsid w:val="00051E61"/>
    <w:rsid w:val="000F1A58"/>
    <w:rsid w:val="00112FAA"/>
    <w:rsid w:val="001C4FE6"/>
    <w:rsid w:val="0026665D"/>
    <w:rsid w:val="002746DF"/>
    <w:rsid w:val="00275CEE"/>
    <w:rsid w:val="0029251C"/>
    <w:rsid w:val="00296A4D"/>
    <w:rsid w:val="0031705D"/>
    <w:rsid w:val="003B37C4"/>
    <w:rsid w:val="003F5DAD"/>
    <w:rsid w:val="00404557"/>
    <w:rsid w:val="004218EB"/>
    <w:rsid w:val="004519FD"/>
    <w:rsid w:val="004703D4"/>
    <w:rsid w:val="00495799"/>
    <w:rsid w:val="004973E3"/>
    <w:rsid w:val="004C64BE"/>
    <w:rsid w:val="004D32B9"/>
    <w:rsid w:val="004E125E"/>
    <w:rsid w:val="00536F12"/>
    <w:rsid w:val="005434EB"/>
    <w:rsid w:val="00555EFF"/>
    <w:rsid w:val="005805AA"/>
    <w:rsid w:val="0059174F"/>
    <w:rsid w:val="005B27DD"/>
    <w:rsid w:val="005E5206"/>
    <w:rsid w:val="00620854"/>
    <w:rsid w:val="0062348D"/>
    <w:rsid w:val="00654642"/>
    <w:rsid w:val="00655D10"/>
    <w:rsid w:val="006B2794"/>
    <w:rsid w:val="006D77D1"/>
    <w:rsid w:val="00742DCE"/>
    <w:rsid w:val="00747A2B"/>
    <w:rsid w:val="00747A6D"/>
    <w:rsid w:val="007A0E9F"/>
    <w:rsid w:val="007F0476"/>
    <w:rsid w:val="008425CC"/>
    <w:rsid w:val="008D368B"/>
    <w:rsid w:val="008E31A2"/>
    <w:rsid w:val="008F16BA"/>
    <w:rsid w:val="00901383"/>
    <w:rsid w:val="009040AE"/>
    <w:rsid w:val="009231D6"/>
    <w:rsid w:val="00925C5D"/>
    <w:rsid w:val="00947103"/>
    <w:rsid w:val="00952A51"/>
    <w:rsid w:val="00984252"/>
    <w:rsid w:val="00986374"/>
    <w:rsid w:val="009D076D"/>
    <w:rsid w:val="009D0B1E"/>
    <w:rsid w:val="00A2236B"/>
    <w:rsid w:val="00A3709B"/>
    <w:rsid w:val="00A65A54"/>
    <w:rsid w:val="00A861A0"/>
    <w:rsid w:val="00AA19CB"/>
    <w:rsid w:val="00B0401E"/>
    <w:rsid w:val="00B053E7"/>
    <w:rsid w:val="00B270D0"/>
    <w:rsid w:val="00B64850"/>
    <w:rsid w:val="00B82D4E"/>
    <w:rsid w:val="00BA6D0C"/>
    <w:rsid w:val="00BE481F"/>
    <w:rsid w:val="00BE494F"/>
    <w:rsid w:val="00BF756E"/>
    <w:rsid w:val="00C171FE"/>
    <w:rsid w:val="00C2391E"/>
    <w:rsid w:val="00CE285E"/>
    <w:rsid w:val="00CF5345"/>
    <w:rsid w:val="00D070E2"/>
    <w:rsid w:val="00D13BC9"/>
    <w:rsid w:val="00D23422"/>
    <w:rsid w:val="00D72DB4"/>
    <w:rsid w:val="00D8467C"/>
    <w:rsid w:val="00D96490"/>
    <w:rsid w:val="00E14A9E"/>
    <w:rsid w:val="00E73215"/>
    <w:rsid w:val="00E87A00"/>
    <w:rsid w:val="00ED0F36"/>
    <w:rsid w:val="00EE3344"/>
    <w:rsid w:val="00EE4BE2"/>
    <w:rsid w:val="00F201A9"/>
    <w:rsid w:val="00F33664"/>
    <w:rsid w:val="00FB3FEC"/>
    <w:rsid w:val="00FE1C6A"/>
    <w:rsid w:val="00FE3438"/>
    <w:rsid w:val="00FE59B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5426DF"/>
  <w15:chartTrackingRefBased/>
  <w15:docId w15:val="{0DEFF8AB-8843-49E8-91F0-E33AF500C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285E"/>
    <w:pPr>
      <w:spacing w:before="240" w:after="240" w:line="276" w:lineRule="auto"/>
      <w:jc w:val="both"/>
    </w:pPr>
    <w:rPr>
      <w:rFonts w:ascii="Exo" w:hAnsi="Exo"/>
      <w:lang w:val="es-ES"/>
    </w:rPr>
  </w:style>
  <w:style w:type="paragraph" w:styleId="Ttulo1">
    <w:name w:val="heading 1"/>
    <w:basedOn w:val="Normal"/>
    <w:next w:val="Normal"/>
    <w:link w:val="Ttulo1Car"/>
    <w:uiPriority w:val="9"/>
    <w:qFormat/>
    <w:rsid w:val="00E73215"/>
    <w:pPr>
      <w:keepNext/>
      <w:keepLines/>
      <w:numPr>
        <w:numId w:val="12"/>
      </w:numPr>
      <w:spacing w:before="600"/>
      <w:jc w:val="center"/>
      <w:outlineLvl w:val="0"/>
    </w:pPr>
    <w:rPr>
      <w:rFonts w:eastAsiaTheme="majorEastAsia" w:cstheme="majorBidi"/>
      <w:b/>
      <w:color w:val="2E74B5" w:themeColor="accent1" w:themeShade="BF"/>
      <w:sz w:val="28"/>
      <w:szCs w:val="24"/>
    </w:rPr>
  </w:style>
  <w:style w:type="paragraph" w:styleId="Ttulo2">
    <w:name w:val="heading 2"/>
    <w:basedOn w:val="Normal"/>
    <w:next w:val="Normal"/>
    <w:link w:val="Ttulo2Car"/>
    <w:uiPriority w:val="9"/>
    <w:unhideWhenUsed/>
    <w:qFormat/>
    <w:rsid w:val="00E73215"/>
    <w:pPr>
      <w:keepNext/>
      <w:keepLines/>
      <w:numPr>
        <w:ilvl w:val="1"/>
        <w:numId w:val="12"/>
      </w:numPr>
      <w:spacing w:before="480"/>
      <w:outlineLvl w:val="1"/>
    </w:pPr>
    <w:rPr>
      <w:rFonts w:eastAsiaTheme="majorEastAsia" w:cstheme="majorBidi"/>
      <w:b/>
      <w:color w:val="2E74B5" w:themeColor="accent1" w:themeShade="BF"/>
      <w:sz w:val="24"/>
      <w:szCs w:val="24"/>
    </w:rPr>
  </w:style>
  <w:style w:type="paragraph" w:styleId="Ttulo3">
    <w:name w:val="heading 3"/>
    <w:basedOn w:val="Normal"/>
    <w:next w:val="Normal"/>
    <w:link w:val="Ttulo3Car"/>
    <w:uiPriority w:val="9"/>
    <w:semiHidden/>
    <w:unhideWhenUsed/>
    <w:qFormat/>
    <w:rsid w:val="008E31A2"/>
    <w:pPr>
      <w:keepNext/>
      <w:keepLines/>
      <w:numPr>
        <w:ilvl w:val="2"/>
        <w:numId w:val="12"/>
      </w:numPr>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8E31A2"/>
    <w:pPr>
      <w:keepNext/>
      <w:keepLines/>
      <w:numPr>
        <w:ilvl w:val="3"/>
        <w:numId w:val="12"/>
      </w:numPr>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8E31A2"/>
    <w:pPr>
      <w:keepNext/>
      <w:keepLines/>
      <w:numPr>
        <w:ilvl w:val="4"/>
        <w:numId w:val="12"/>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8E31A2"/>
    <w:pPr>
      <w:keepNext/>
      <w:keepLines/>
      <w:numPr>
        <w:ilvl w:val="5"/>
        <w:numId w:val="12"/>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8E31A2"/>
    <w:pPr>
      <w:keepNext/>
      <w:keepLines/>
      <w:numPr>
        <w:ilvl w:val="6"/>
        <w:numId w:val="12"/>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8E31A2"/>
    <w:pPr>
      <w:keepNext/>
      <w:keepLines/>
      <w:numPr>
        <w:ilvl w:val="7"/>
        <w:numId w:val="1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8E31A2"/>
    <w:pPr>
      <w:keepNext/>
      <w:keepLines/>
      <w:numPr>
        <w:ilvl w:val="8"/>
        <w:numId w:val="1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E73215"/>
    <w:rPr>
      <w:rFonts w:ascii="Exo" w:eastAsiaTheme="majorEastAsia" w:hAnsi="Exo" w:cstheme="majorBidi"/>
      <w:b/>
      <w:color w:val="2E74B5" w:themeColor="accent1" w:themeShade="BF"/>
      <w:sz w:val="24"/>
      <w:szCs w:val="24"/>
      <w:lang w:val="es-ES"/>
    </w:rPr>
  </w:style>
  <w:style w:type="character" w:customStyle="1" w:styleId="Ttulo1Car">
    <w:name w:val="Título 1 Car"/>
    <w:basedOn w:val="Fuentedeprrafopredeter"/>
    <w:link w:val="Ttulo1"/>
    <w:uiPriority w:val="9"/>
    <w:rsid w:val="00E73215"/>
    <w:rPr>
      <w:rFonts w:ascii="Exo" w:eastAsiaTheme="majorEastAsia" w:hAnsi="Exo" w:cstheme="majorBidi"/>
      <w:b/>
      <w:color w:val="2E74B5" w:themeColor="accent1" w:themeShade="BF"/>
      <w:sz w:val="28"/>
      <w:szCs w:val="24"/>
      <w:lang w:val="es-ES"/>
    </w:rPr>
  </w:style>
  <w:style w:type="paragraph" w:styleId="Textonotapie">
    <w:name w:val="footnote text"/>
    <w:basedOn w:val="Normal"/>
    <w:link w:val="TextonotapieCar"/>
    <w:uiPriority w:val="99"/>
    <w:semiHidden/>
    <w:unhideWhenUsed/>
    <w:rsid w:val="00B0401E"/>
    <w:pPr>
      <w:spacing w:before="0" w:after="0" w:line="240" w:lineRule="auto"/>
    </w:pPr>
    <w:rPr>
      <w:sz w:val="20"/>
      <w:szCs w:val="20"/>
    </w:rPr>
  </w:style>
  <w:style w:type="character" w:customStyle="1" w:styleId="TextonotapieCar">
    <w:name w:val="Texto nota pie Car"/>
    <w:basedOn w:val="Fuentedeprrafopredeter"/>
    <w:link w:val="Textonotapie"/>
    <w:uiPriority w:val="99"/>
    <w:semiHidden/>
    <w:rsid w:val="00B0401E"/>
    <w:rPr>
      <w:rFonts w:ascii="Exo" w:hAnsi="Exo"/>
      <w:sz w:val="20"/>
      <w:szCs w:val="20"/>
      <w:lang w:val="es-ES"/>
    </w:rPr>
  </w:style>
  <w:style w:type="character" w:styleId="Refdenotaalpie">
    <w:name w:val="footnote reference"/>
    <w:basedOn w:val="Fuentedeprrafopredeter"/>
    <w:uiPriority w:val="99"/>
    <w:semiHidden/>
    <w:unhideWhenUsed/>
    <w:rsid w:val="00B0401E"/>
    <w:rPr>
      <w:vertAlign w:val="superscript"/>
    </w:rPr>
  </w:style>
  <w:style w:type="paragraph" w:styleId="Prrafodelista">
    <w:name w:val="List Paragraph"/>
    <w:basedOn w:val="Normal"/>
    <w:uiPriority w:val="34"/>
    <w:qFormat/>
    <w:rsid w:val="00D13BC9"/>
    <w:pPr>
      <w:ind w:left="720"/>
      <w:contextualSpacing/>
    </w:pPr>
  </w:style>
  <w:style w:type="table" w:styleId="Tablaconcuadrcula">
    <w:name w:val="Table Grid"/>
    <w:basedOn w:val="Tablanormal"/>
    <w:uiPriority w:val="39"/>
    <w:rsid w:val="003F5D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BA6D0C"/>
    <w:pPr>
      <w:tabs>
        <w:tab w:val="center" w:pos="4419"/>
        <w:tab w:val="right" w:pos="8838"/>
      </w:tabs>
      <w:spacing w:before="0" w:after="0" w:line="240" w:lineRule="auto"/>
    </w:pPr>
  </w:style>
  <w:style w:type="character" w:customStyle="1" w:styleId="EncabezadoCar">
    <w:name w:val="Encabezado Car"/>
    <w:basedOn w:val="Fuentedeprrafopredeter"/>
    <w:link w:val="Encabezado"/>
    <w:uiPriority w:val="99"/>
    <w:rsid w:val="00BA6D0C"/>
    <w:rPr>
      <w:rFonts w:ascii="Exo" w:hAnsi="Exo"/>
      <w:lang w:val="es-ES"/>
    </w:rPr>
  </w:style>
  <w:style w:type="paragraph" w:styleId="Piedepgina">
    <w:name w:val="footer"/>
    <w:basedOn w:val="Normal"/>
    <w:link w:val="PiedepginaCar"/>
    <w:uiPriority w:val="99"/>
    <w:unhideWhenUsed/>
    <w:rsid w:val="00BA6D0C"/>
    <w:pPr>
      <w:tabs>
        <w:tab w:val="center" w:pos="4419"/>
        <w:tab w:val="right" w:pos="8838"/>
      </w:tabs>
      <w:spacing w:before="0" w:after="0" w:line="240" w:lineRule="auto"/>
    </w:pPr>
  </w:style>
  <w:style w:type="character" w:customStyle="1" w:styleId="PiedepginaCar">
    <w:name w:val="Pie de página Car"/>
    <w:basedOn w:val="Fuentedeprrafopredeter"/>
    <w:link w:val="Piedepgina"/>
    <w:uiPriority w:val="99"/>
    <w:rsid w:val="00BA6D0C"/>
    <w:rPr>
      <w:rFonts w:ascii="Exo" w:hAnsi="Exo"/>
      <w:lang w:val="es-ES"/>
    </w:rPr>
  </w:style>
  <w:style w:type="character" w:customStyle="1" w:styleId="Ttulo3Car">
    <w:name w:val="Título 3 Car"/>
    <w:basedOn w:val="Fuentedeprrafopredeter"/>
    <w:link w:val="Ttulo3"/>
    <w:uiPriority w:val="9"/>
    <w:semiHidden/>
    <w:rsid w:val="008E31A2"/>
    <w:rPr>
      <w:rFonts w:asciiTheme="majorHAnsi" w:eastAsiaTheme="majorEastAsia" w:hAnsiTheme="majorHAnsi" w:cstheme="majorBidi"/>
      <w:color w:val="1F4D78" w:themeColor="accent1" w:themeShade="7F"/>
      <w:sz w:val="24"/>
      <w:szCs w:val="24"/>
      <w:lang w:val="es-ES"/>
    </w:rPr>
  </w:style>
  <w:style w:type="character" w:customStyle="1" w:styleId="Ttulo4Car">
    <w:name w:val="Título 4 Car"/>
    <w:basedOn w:val="Fuentedeprrafopredeter"/>
    <w:link w:val="Ttulo4"/>
    <w:uiPriority w:val="9"/>
    <w:semiHidden/>
    <w:rsid w:val="008E31A2"/>
    <w:rPr>
      <w:rFonts w:asciiTheme="majorHAnsi" w:eastAsiaTheme="majorEastAsia" w:hAnsiTheme="majorHAnsi" w:cstheme="majorBidi"/>
      <w:i/>
      <w:iCs/>
      <w:color w:val="2E74B5" w:themeColor="accent1" w:themeShade="BF"/>
      <w:lang w:val="es-ES"/>
    </w:rPr>
  </w:style>
  <w:style w:type="character" w:customStyle="1" w:styleId="Ttulo5Car">
    <w:name w:val="Título 5 Car"/>
    <w:basedOn w:val="Fuentedeprrafopredeter"/>
    <w:link w:val="Ttulo5"/>
    <w:uiPriority w:val="9"/>
    <w:semiHidden/>
    <w:rsid w:val="008E31A2"/>
    <w:rPr>
      <w:rFonts w:asciiTheme="majorHAnsi" w:eastAsiaTheme="majorEastAsia" w:hAnsiTheme="majorHAnsi" w:cstheme="majorBidi"/>
      <w:color w:val="2E74B5" w:themeColor="accent1" w:themeShade="BF"/>
      <w:lang w:val="es-ES"/>
    </w:rPr>
  </w:style>
  <w:style w:type="character" w:customStyle="1" w:styleId="Ttulo6Car">
    <w:name w:val="Título 6 Car"/>
    <w:basedOn w:val="Fuentedeprrafopredeter"/>
    <w:link w:val="Ttulo6"/>
    <w:uiPriority w:val="9"/>
    <w:semiHidden/>
    <w:rsid w:val="008E31A2"/>
    <w:rPr>
      <w:rFonts w:asciiTheme="majorHAnsi" w:eastAsiaTheme="majorEastAsia" w:hAnsiTheme="majorHAnsi" w:cstheme="majorBidi"/>
      <w:color w:val="1F4D78" w:themeColor="accent1" w:themeShade="7F"/>
      <w:lang w:val="es-ES"/>
    </w:rPr>
  </w:style>
  <w:style w:type="character" w:customStyle="1" w:styleId="Ttulo7Car">
    <w:name w:val="Título 7 Car"/>
    <w:basedOn w:val="Fuentedeprrafopredeter"/>
    <w:link w:val="Ttulo7"/>
    <w:uiPriority w:val="9"/>
    <w:semiHidden/>
    <w:rsid w:val="008E31A2"/>
    <w:rPr>
      <w:rFonts w:asciiTheme="majorHAnsi" w:eastAsiaTheme="majorEastAsia" w:hAnsiTheme="majorHAnsi" w:cstheme="majorBidi"/>
      <w:i/>
      <w:iCs/>
      <w:color w:val="1F4D78" w:themeColor="accent1" w:themeShade="7F"/>
      <w:lang w:val="es-ES"/>
    </w:rPr>
  </w:style>
  <w:style w:type="character" w:customStyle="1" w:styleId="Ttulo8Car">
    <w:name w:val="Título 8 Car"/>
    <w:basedOn w:val="Fuentedeprrafopredeter"/>
    <w:link w:val="Ttulo8"/>
    <w:uiPriority w:val="9"/>
    <w:semiHidden/>
    <w:rsid w:val="008E31A2"/>
    <w:rPr>
      <w:rFonts w:asciiTheme="majorHAnsi" w:eastAsiaTheme="majorEastAsia" w:hAnsiTheme="majorHAnsi" w:cstheme="majorBidi"/>
      <w:color w:val="272727" w:themeColor="text1" w:themeTint="D8"/>
      <w:sz w:val="21"/>
      <w:szCs w:val="21"/>
      <w:lang w:val="es-ES"/>
    </w:rPr>
  </w:style>
  <w:style w:type="character" w:customStyle="1" w:styleId="Ttulo9Car">
    <w:name w:val="Título 9 Car"/>
    <w:basedOn w:val="Fuentedeprrafopredeter"/>
    <w:link w:val="Ttulo9"/>
    <w:uiPriority w:val="9"/>
    <w:semiHidden/>
    <w:rsid w:val="008E31A2"/>
    <w:rPr>
      <w:rFonts w:asciiTheme="majorHAnsi" w:eastAsiaTheme="majorEastAsia" w:hAnsiTheme="majorHAnsi" w:cstheme="majorBidi"/>
      <w:i/>
      <w:iCs/>
      <w:color w:val="272727" w:themeColor="text1" w:themeTint="D8"/>
      <w:sz w:val="21"/>
      <w:szCs w:val="21"/>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91B212-B792-4102-B990-232A10B56F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TotalTime>
  <Pages>15</Pages>
  <Words>4584</Words>
  <Characters>25218</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 Mayo</dc:creator>
  <cp:keywords/>
  <dc:description/>
  <cp:lastModifiedBy>Jaqueline del Carmen Carrillo Llergo</cp:lastModifiedBy>
  <cp:revision>88</cp:revision>
  <dcterms:created xsi:type="dcterms:W3CDTF">2024-12-03T16:22:00Z</dcterms:created>
  <dcterms:modified xsi:type="dcterms:W3CDTF">2024-12-11T16:39:00Z</dcterms:modified>
</cp:coreProperties>
</file>